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FC" w:rsidRDefault="00AA4DFC" w:rsidP="00AA4DFC">
      <w:pPr>
        <w:rPr>
          <w:b/>
        </w:rPr>
      </w:pPr>
      <w:r w:rsidRPr="0085477A">
        <w:rPr>
          <w:b/>
        </w:rPr>
        <w:t>European sites checklist</w:t>
      </w:r>
    </w:p>
    <w:p w:rsidR="00AA4DFC" w:rsidRPr="0085477A" w:rsidRDefault="00AA4DFC" w:rsidP="00AA4DFC">
      <w:pPr>
        <w:rPr>
          <w:b/>
        </w:rPr>
      </w:pPr>
    </w:p>
    <w:p w:rsidR="00AA4DFC" w:rsidRDefault="00AA4DFC" w:rsidP="00AA4DFC">
      <w:r>
        <w:t>This checklist must be completed by the applicant for proposals for new residential or overnight accommodation.  It will set out how the applicant will deal with avoidance and mitigation to remove any likely significant effects on European sites.</w:t>
      </w:r>
    </w:p>
    <w:p w:rsidR="00AA4DFC" w:rsidRDefault="00AA4DFC" w:rsidP="00AA4DFC"/>
    <w:tbl>
      <w:tblPr>
        <w:tblStyle w:val="TableGrid"/>
        <w:tblW w:w="0" w:type="auto"/>
        <w:tblLook w:val="04A0" w:firstRow="1" w:lastRow="0" w:firstColumn="1" w:lastColumn="0" w:noHBand="0" w:noVBand="1"/>
      </w:tblPr>
      <w:tblGrid>
        <w:gridCol w:w="2376"/>
        <w:gridCol w:w="6866"/>
      </w:tblGrid>
      <w:tr w:rsidR="00AA4DFC" w:rsidRPr="0085477A" w:rsidTr="0069616E">
        <w:tc>
          <w:tcPr>
            <w:tcW w:w="9242" w:type="dxa"/>
            <w:gridSpan w:val="2"/>
          </w:tcPr>
          <w:p w:rsidR="00AA4DFC" w:rsidRPr="0085477A" w:rsidRDefault="00AA4DFC" w:rsidP="0069616E">
            <w:pPr>
              <w:rPr>
                <w:b/>
              </w:rPr>
            </w:pPr>
            <w:r>
              <w:rPr>
                <w:b/>
              </w:rPr>
              <w:t>Application details</w:t>
            </w:r>
          </w:p>
        </w:tc>
      </w:tr>
      <w:tr w:rsidR="00AA4DFC" w:rsidRPr="0085477A" w:rsidTr="0069616E">
        <w:tc>
          <w:tcPr>
            <w:tcW w:w="2376" w:type="dxa"/>
          </w:tcPr>
          <w:p w:rsidR="00AA4DFC" w:rsidRDefault="00AA4DFC" w:rsidP="0069616E">
            <w:r w:rsidRPr="0085477A">
              <w:t>Applicant name:</w:t>
            </w:r>
          </w:p>
          <w:p w:rsidR="00AA4DFC" w:rsidRPr="0085477A" w:rsidRDefault="00AA4DFC" w:rsidP="0069616E"/>
        </w:tc>
        <w:tc>
          <w:tcPr>
            <w:tcW w:w="6866" w:type="dxa"/>
          </w:tcPr>
          <w:p w:rsidR="00AA4DFC" w:rsidRPr="0085477A" w:rsidRDefault="00AA4DFC" w:rsidP="0069616E"/>
        </w:tc>
      </w:tr>
      <w:tr w:rsidR="00AA4DFC" w:rsidRPr="0085477A" w:rsidTr="0069616E">
        <w:tc>
          <w:tcPr>
            <w:tcW w:w="2376" w:type="dxa"/>
          </w:tcPr>
          <w:p w:rsidR="00AA4DFC" w:rsidRDefault="00AA4DFC" w:rsidP="0069616E">
            <w:r>
              <w:t>Agents name:</w:t>
            </w:r>
          </w:p>
          <w:p w:rsidR="00AA4DFC" w:rsidRPr="0085477A" w:rsidRDefault="00AA4DFC" w:rsidP="0069616E"/>
        </w:tc>
        <w:tc>
          <w:tcPr>
            <w:tcW w:w="6866" w:type="dxa"/>
          </w:tcPr>
          <w:p w:rsidR="00AA4DFC" w:rsidRPr="0085477A" w:rsidRDefault="00AA4DFC" w:rsidP="0069616E"/>
        </w:tc>
      </w:tr>
      <w:tr w:rsidR="00AA4DFC" w:rsidRPr="0085477A" w:rsidTr="0069616E">
        <w:tc>
          <w:tcPr>
            <w:tcW w:w="2376" w:type="dxa"/>
          </w:tcPr>
          <w:p w:rsidR="00AA4DFC" w:rsidRDefault="00AA4DFC" w:rsidP="0069616E">
            <w:r w:rsidRPr="0085477A">
              <w:t>Site address</w:t>
            </w:r>
            <w:r>
              <w:t>:</w:t>
            </w:r>
          </w:p>
          <w:p w:rsidR="00AA4DFC" w:rsidRPr="0085477A" w:rsidRDefault="00AA4DFC" w:rsidP="0069616E"/>
        </w:tc>
        <w:tc>
          <w:tcPr>
            <w:tcW w:w="6866" w:type="dxa"/>
          </w:tcPr>
          <w:p w:rsidR="00AA4DFC" w:rsidRPr="0085477A" w:rsidRDefault="00AA4DFC" w:rsidP="0069616E"/>
        </w:tc>
      </w:tr>
    </w:tbl>
    <w:p w:rsidR="00AA4DFC" w:rsidRDefault="00AA4DFC" w:rsidP="00AA4DFC"/>
    <w:tbl>
      <w:tblPr>
        <w:tblStyle w:val="TableGrid"/>
        <w:tblW w:w="0" w:type="auto"/>
        <w:tblLook w:val="04A0" w:firstRow="1" w:lastRow="0" w:firstColumn="1" w:lastColumn="0" w:noHBand="0" w:noVBand="1"/>
      </w:tblPr>
      <w:tblGrid>
        <w:gridCol w:w="817"/>
        <w:gridCol w:w="5991"/>
        <w:gridCol w:w="2372"/>
      </w:tblGrid>
      <w:tr w:rsidR="00AA4DFC" w:rsidTr="0069616E">
        <w:tc>
          <w:tcPr>
            <w:tcW w:w="9180" w:type="dxa"/>
            <w:gridSpan w:val="3"/>
          </w:tcPr>
          <w:p w:rsidR="00AA4DFC" w:rsidRDefault="00AA4DFC" w:rsidP="0069616E">
            <w:pPr>
              <w:rPr>
                <w:b/>
              </w:rPr>
            </w:pPr>
          </w:p>
          <w:p w:rsidR="00AA4DFC" w:rsidRDefault="00AA4DFC" w:rsidP="0069616E">
            <w:pPr>
              <w:rPr>
                <w:b/>
              </w:rPr>
            </w:pPr>
            <w:r>
              <w:rPr>
                <w:b/>
              </w:rPr>
              <w:t>Solent nitrogen nutrient water quality</w:t>
            </w:r>
          </w:p>
          <w:p w:rsidR="00AA4DFC" w:rsidRPr="00091EE4" w:rsidRDefault="00AA4DFC" w:rsidP="0069616E"/>
          <w:p w:rsidR="00AA4DFC" w:rsidRDefault="00AA4DFC" w:rsidP="0069616E">
            <w:r w:rsidRPr="00091EE4">
              <w:t xml:space="preserve">There is evidence of high levels of nitrogen in the water environment with evidence of eutrophication at designated sites.  Residential development or development </w:t>
            </w:r>
            <w:r>
              <w:t xml:space="preserve"> </w:t>
            </w:r>
            <w:r w:rsidRPr="00091EE4">
              <w:t>which</w:t>
            </w:r>
            <w:r>
              <w:t xml:space="preserve"> </w:t>
            </w:r>
            <w:r w:rsidRPr="00091EE4">
              <w:t>generate</w:t>
            </w:r>
            <w:r>
              <w:t xml:space="preserve"> </w:t>
            </w:r>
            <w:r w:rsidRPr="00091EE4">
              <w:t xml:space="preserve">an overnight stay within the Winchester District are likely to have an adverse impact on the Solent Special Protection Areas.  </w:t>
            </w:r>
          </w:p>
          <w:p w:rsidR="00AA4DFC" w:rsidRDefault="00AA4DFC" w:rsidP="0069616E"/>
          <w:p w:rsidR="00AA4DFC" w:rsidRDefault="00AA4DFC" w:rsidP="0069616E">
            <w:r>
              <w:t>The Council has published a position statement setting out the avoidance and mitigation measures that are needed in order for the Council to meet its legal requirements in accordance with the Conservation of Habitats and Species Regulations 2010.</w:t>
            </w:r>
          </w:p>
          <w:p w:rsidR="00AA4DFC" w:rsidRDefault="00AA4DFC" w:rsidP="0069616E"/>
          <w:p w:rsidR="00AA4DFC" w:rsidRDefault="00AA4DFC" w:rsidP="0069616E">
            <w:r>
              <w:t>The full extent of avoidance and mitigation package is not yet known, but it will take the form of a financial contribution.</w:t>
            </w:r>
          </w:p>
          <w:p w:rsidR="00AA4DFC" w:rsidRDefault="00AA4DFC" w:rsidP="0069616E"/>
          <w:p w:rsidR="00AA4DFC" w:rsidRDefault="00AA4DFC" w:rsidP="0069616E">
            <w:r>
              <w:t>If you agree to the granting of planning permission with a ‘Grampian’ condition which will require the provision of an avoidance and mitigation package prior to occupation.  Any financial contribution would have to be paid prior to occupation</w:t>
            </w:r>
            <w:r w:rsidRPr="00C14875">
              <w:rPr>
                <w:b/>
              </w:rPr>
              <w:t>. *</w:t>
            </w:r>
          </w:p>
          <w:p w:rsidR="00AA4DFC" w:rsidRDefault="00AA4DFC" w:rsidP="0069616E"/>
          <w:p w:rsidR="00AA4DFC" w:rsidRPr="00C14875" w:rsidRDefault="00AA4DFC" w:rsidP="0069616E">
            <w:pPr>
              <w:rPr>
                <w:b/>
                <w:sz w:val="28"/>
                <w:szCs w:val="28"/>
              </w:rPr>
            </w:pPr>
            <w:r w:rsidRPr="00C14875">
              <w:rPr>
                <w:b/>
                <w:sz w:val="28"/>
                <w:szCs w:val="28"/>
              </w:rPr>
              <w:t>*NB the applicant proceeds at their own risk as the precise scale of the avoidance and mitigation package is not yet know</w:t>
            </w:r>
            <w:r>
              <w:rPr>
                <w:b/>
                <w:sz w:val="28"/>
                <w:szCs w:val="28"/>
              </w:rPr>
              <w:t>n</w:t>
            </w:r>
            <w:r w:rsidRPr="00C14875">
              <w:rPr>
                <w:b/>
                <w:sz w:val="28"/>
                <w:szCs w:val="28"/>
              </w:rPr>
              <w:t>.</w:t>
            </w:r>
          </w:p>
          <w:p w:rsidR="00AA4DFC" w:rsidRPr="00C15048" w:rsidRDefault="00AA4DFC" w:rsidP="0069616E">
            <w:pPr>
              <w:rPr>
                <w:b/>
              </w:rPr>
            </w:pPr>
          </w:p>
        </w:tc>
      </w:tr>
      <w:tr w:rsidR="00AA4DFC" w:rsidTr="0069616E">
        <w:tc>
          <w:tcPr>
            <w:tcW w:w="817" w:type="dxa"/>
          </w:tcPr>
          <w:p w:rsidR="00AA4DFC" w:rsidRDefault="00AA4DFC" w:rsidP="0069616E">
            <w:r>
              <w:t>Q1</w:t>
            </w:r>
          </w:p>
        </w:tc>
        <w:tc>
          <w:tcPr>
            <w:tcW w:w="5991" w:type="dxa"/>
          </w:tcPr>
          <w:p w:rsidR="00AA4DFC" w:rsidRDefault="00AA4DFC" w:rsidP="0069616E">
            <w:r>
              <w:t>I confirm that the proposed development will include an avoidance and mitigation package, in line with this position statement and I confirm that I am content that a Grampian condition is used to secure this prior to occupation.</w:t>
            </w:r>
          </w:p>
        </w:tc>
        <w:tc>
          <w:tcPr>
            <w:tcW w:w="2372" w:type="dxa"/>
          </w:tcPr>
          <w:p w:rsidR="00AA4DFC" w:rsidRDefault="00AA4DFC" w:rsidP="0069616E"/>
          <w:p w:rsidR="00AA4DFC" w:rsidRDefault="00AA4DFC" w:rsidP="0069616E">
            <w:r>
              <w:t>Yes / No</w:t>
            </w:r>
          </w:p>
          <w:p w:rsidR="00AA4DFC" w:rsidRDefault="00AA4DFC" w:rsidP="0069616E"/>
          <w:p w:rsidR="00AA4DFC" w:rsidRDefault="00AA4DFC" w:rsidP="0069616E">
            <w:r w:rsidRPr="00B51441">
              <w:rPr>
                <w:sz w:val="16"/>
                <w:szCs w:val="16"/>
              </w:rPr>
              <w:t>If you answer no</w:t>
            </w:r>
            <w:r>
              <w:rPr>
                <w:sz w:val="16"/>
                <w:szCs w:val="16"/>
              </w:rPr>
              <w:t xml:space="preserve">, please continue to Q2. </w:t>
            </w:r>
          </w:p>
        </w:tc>
      </w:tr>
      <w:tr w:rsidR="00AA4DFC" w:rsidTr="0069616E">
        <w:tc>
          <w:tcPr>
            <w:tcW w:w="817" w:type="dxa"/>
          </w:tcPr>
          <w:p w:rsidR="00AA4DFC" w:rsidRDefault="00AA4DFC" w:rsidP="0069616E">
            <w:r>
              <w:t>Q2</w:t>
            </w:r>
          </w:p>
        </w:tc>
        <w:tc>
          <w:tcPr>
            <w:tcW w:w="5991" w:type="dxa"/>
          </w:tcPr>
          <w:p w:rsidR="00AA4DFC" w:rsidRDefault="00AA4DFC" w:rsidP="0069616E">
            <w:r>
              <w:t>The proposed development would be nitrogen neutral.  A nitrogen budget has been submitted with the application.</w:t>
            </w:r>
          </w:p>
        </w:tc>
        <w:tc>
          <w:tcPr>
            <w:tcW w:w="2372" w:type="dxa"/>
          </w:tcPr>
          <w:p w:rsidR="00AA4DFC" w:rsidRDefault="00AA4DFC" w:rsidP="0069616E">
            <w:r>
              <w:t>Yes / No</w:t>
            </w:r>
          </w:p>
          <w:p w:rsidR="00AA4DFC" w:rsidRDefault="00AA4DFC" w:rsidP="0069616E"/>
          <w:p w:rsidR="00AA4DFC" w:rsidRDefault="00AA4DFC" w:rsidP="0069616E">
            <w:r w:rsidRPr="00B51441">
              <w:rPr>
                <w:sz w:val="16"/>
                <w:szCs w:val="16"/>
              </w:rPr>
              <w:t>If you answer no</w:t>
            </w:r>
            <w:r>
              <w:rPr>
                <w:sz w:val="16"/>
                <w:szCs w:val="16"/>
              </w:rPr>
              <w:t>, please continue to Q3</w:t>
            </w:r>
          </w:p>
        </w:tc>
      </w:tr>
      <w:tr w:rsidR="00AA4DFC" w:rsidTr="0069616E">
        <w:tc>
          <w:tcPr>
            <w:tcW w:w="817" w:type="dxa"/>
          </w:tcPr>
          <w:p w:rsidR="00AA4DFC" w:rsidRDefault="00AA4DFC" w:rsidP="0069616E">
            <w:r>
              <w:t>Q3</w:t>
            </w:r>
          </w:p>
        </w:tc>
        <w:tc>
          <w:tcPr>
            <w:tcW w:w="5991" w:type="dxa"/>
          </w:tcPr>
          <w:p w:rsidR="00AA4DFC" w:rsidRDefault="00AA4DFC" w:rsidP="0069616E">
            <w:r>
              <w:t xml:space="preserve">The proposed development is not nitrogen neutral and no avoidance or mitigation package is proposed.*  </w:t>
            </w:r>
          </w:p>
          <w:p w:rsidR="00AA4DFC" w:rsidRDefault="00AA4DFC" w:rsidP="0069616E"/>
          <w:p w:rsidR="00AA4DFC" w:rsidRDefault="00AA4DFC" w:rsidP="0069616E">
            <w:r>
              <w:lastRenderedPageBreak/>
              <w:t>*NB please note that planning permission can not lawfully be granted in these circumstances.</w:t>
            </w:r>
          </w:p>
        </w:tc>
        <w:tc>
          <w:tcPr>
            <w:tcW w:w="2372" w:type="dxa"/>
          </w:tcPr>
          <w:p w:rsidR="00AA4DFC" w:rsidRDefault="00AA4DFC" w:rsidP="0069616E">
            <w:r>
              <w:lastRenderedPageBreak/>
              <w:t>Yes / No</w:t>
            </w:r>
          </w:p>
        </w:tc>
      </w:tr>
    </w:tbl>
    <w:p w:rsidR="00AA4DFC" w:rsidRDefault="00AA4DFC" w:rsidP="00AA4DFC"/>
    <w:tbl>
      <w:tblPr>
        <w:tblStyle w:val="TableGrid"/>
        <w:tblW w:w="0" w:type="auto"/>
        <w:tblLook w:val="04A0" w:firstRow="1" w:lastRow="0" w:firstColumn="1" w:lastColumn="0" w:noHBand="0" w:noVBand="1"/>
      </w:tblPr>
      <w:tblGrid>
        <w:gridCol w:w="817"/>
        <w:gridCol w:w="5991"/>
        <w:gridCol w:w="2372"/>
      </w:tblGrid>
      <w:tr w:rsidR="00AA4DFC" w:rsidTr="0069616E">
        <w:tc>
          <w:tcPr>
            <w:tcW w:w="9180" w:type="dxa"/>
            <w:gridSpan w:val="3"/>
          </w:tcPr>
          <w:p w:rsidR="00AA4DFC" w:rsidRDefault="00AA4DFC" w:rsidP="0069616E">
            <w:pPr>
              <w:rPr>
                <w:b/>
              </w:rPr>
            </w:pPr>
          </w:p>
          <w:p w:rsidR="00AA4DFC" w:rsidRDefault="00AA4DFC" w:rsidP="0069616E">
            <w:pPr>
              <w:rPr>
                <w:b/>
              </w:rPr>
            </w:pPr>
            <w:r>
              <w:rPr>
                <w:b/>
              </w:rPr>
              <w:t xml:space="preserve">Bird Aware / </w:t>
            </w:r>
            <w:r w:rsidRPr="0085477A">
              <w:rPr>
                <w:b/>
              </w:rPr>
              <w:t xml:space="preserve">Solent Recreation </w:t>
            </w:r>
            <w:r>
              <w:rPr>
                <w:b/>
              </w:rPr>
              <w:t>Mitigation Strategy</w:t>
            </w:r>
          </w:p>
          <w:p w:rsidR="00AA4DFC" w:rsidRDefault="00B75A34" w:rsidP="0069616E">
            <w:hyperlink r:id="rId7" w:history="1">
              <w:r w:rsidR="00AA4DFC" w:rsidRPr="00DD1F50">
                <w:rPr>
                  <w:rStyle w:val="Hyperlink"/>
                </w:rPr>
                <w:t>https://www.winchester.gov.uk/planning/solent-recreation-mitigation-partnership</w:t>
              </w:r>
            </w:hyperlink>
          </w:p>
          <w:p w:rsidR="00AA4DFC" w:rsidRDefault="00AA4DFC" w:rsidP="0069616E"/>
          <w:p w:rsidR="00AA4DFC" w:rsidRDefault="00AA4DFC" w:rsidP="0069616E">
            <w:r>
              <w:t>If the development is within 5.6 km of the Special Protection Areas of the Solent mitigation will need to be provided.  The City Council considers that mitigation provided in line with the Solent Recreation Mitigation Strategy (</w:t>
            </w:r>
            <w:hyperlink r:id="rId8" w:history="1">
              <w:r w:rsidRPr="00DD1F50">
                <w:rPr>
                  <w:rStyle w:val="Hyperlink"/>
                </w:rPr>
                <w:t>www.birdaware.org/home</w:t>
              </w:r>
            </w:hyperlink>
            <w:r>
              <w:t>) is appropriate to relevant planning applications.  This would result in a mitigation package as follows:-</w:t>
            </w:r>
          </w:p>
          <w:p w:rsidR="00AA4DFC" w:rsidRDefault="00AA4DFC" w:rsidP="0069616E"/>
          <w:p w:rsidR="00B75A34" w:rsidRPr="00B75A34" w:rsidRDefault="00B75A34" w:rsidP="00B75A34">
            <w:pPr>
              <w:numPr>
                <w:ilvl w:val="0"/>
                <w:numId w:val="1"/>
              </w:numPr>
              <w:autoSpaceDE/>
              <w:autoSpaceDN/>
              <w:rPr>
                <w:color w:val="0A0A0A"/>
              </w:rPr>
            </w:pPr>
            <w:r w:rsidRPr="00B75A34">
              <w:rPr>
                <w:color w:val="0A0A0A"/>
              </w:rPr>
              <w:t>1 bedroom property £390</w:t>
            </w:r>
          </w:p>
          <w:p w:rsidR="00B75A34" w:rsidRPr="00B75A34" w:rsidRDefault="00B75A34" w:rsidP="00B75A34">
            <w:pPr>
              <w:numPr>
                <w:ilvl w:val="0"/>
                <w:numId w:val="1"/>
              </w:numPr>
              <w:autoSpaceDE/>
              <w:autoSpaceDN/>
              <w:rPr>
                <w:color w:val="0A0A0A"/>
              </w:rPr>
            </w:pPr>
            <w:r w:rsidRPr="00B75A34">
              <w:rPr>
                <w:color w:val="0A0A0A"/>
              </w:rPr>
              <w:t>2 bedroom property £563</w:t>
            </w:r>
          </w:p>
          <w:p w:rsidR="00B75A34" w:rsidRPr="00B75A34" w:rsidRDefault="00B75A34" w:rsidP="00B75A34">
            <w:pPr>
              <w:numPr>
                <w:ilvl w:val="0"/>
                <w:numId w:val="1"/>
              </w:numPr>
              <w:autoSpaceDE/>
              <w:autoSpaceDN/>
              <w:rPr>
                <w:color w:val="0A0A0A"/>
              </w:rPr>
            </w:pPr>
            <w:r w:rsidRPr="00B75A34">
              <w:rPr>
                <w:color w:val="0A0A0A"/>
              </w:rPr>
              <w:t>3 bedroom property £735</w:t>
            </w:r>
          </w:p>
          <w:p w:rsidR="00B75A34" w:rsidRPr="00B75A34" w:rsidRDefault="00B75A34" w:rsidP="00B75A34">
            <w:pPr>
              <w:numPr>
                <w:ilvl w:val="0"/>
                <w:numId w:val="1"/>
              </w:numPr>
              <w:autoSpaceDE/>
              <w:autoSpaceDN/>
              <w:rPr>
                <w:color w:val="0A0A0A"/>
              </w:rPr>
            </w:pPr>
            <w:r w:rsidRPr="00B75A34">
              <w:rPr>
                <w:color w:val="0A0A0A"/>
              </w:rPr>
              <w:t>4 bedroom property £864</w:t>
            </w:r>
          </w:p>
          <w:p w:rsidR="00B75A34" w:rsidRPr="00B75A34" w:rsidRDefault="00B75A34" w:rsidP="00B75A34">
            <w:pPr>
              <w:numPr>
                <w:ilvl w:val="0"/>
                <w:numId w:val="1"/>
              </w:numPr>
              <w:autoSpaceDE/>
              <w:autoSpaceDN/>
              <w:rPr>
                <w:color w:val="0A0A0A"/>
              </w:rPr>
            </w:pPr>
            <w:r w:rsidRPr="00B75A34">
              <w:rPr>
                <w:color w:val="0A0A0A"/>
              </w:rPr>
              <w:t>5 bedroom property £1014</w:t>
            </w:r>
          </w:p>
          <w:p w:rsidR="00B75A34" w:rsidRDefault="00B75A34" w:rsidP="00B75A34">
            <w:pPr>
              <w:numPr>
                <w:ilvl w:val="0"/>
                <w:numId w:val="1"/>
              </w:numPr>
              <w:autoSpaceDE/>
              <w:autoSpaceDN/>
              <w:rPr>
                <w:color w:val="0A0A0A"/>
              </w:rPr>
            </w:pPr>
            <w:r w:rsidRPr="00B75A34">
              <w:rPr>
                <w:color w:val="0A0A0A"/>
              </w:rPr>
              <w:t>Flat Rate £652 (usually used in cases of caravans, tents or gypsy and traveller sites)</w:t>
            </w:r>
          </w:p>
          <w:p w:rsidR="00B75A34" w:rsidRPr="00B75A34" w:rsidRDefault="00B75A34" w:rsidP="00B75A34">
            <w:pPr>
              <w:autoSpaceDE/>
              <w:autoSpaceDN/>
              <w:ind w:left="360"/>
              <w:rPr>
                <w:color w:val="0A0A0A"/>
              </w:rPr>
            </w:pPr>
          </w:p>
          <w:p w:rsidR="00AA4DFC" w:rsidRPr="00B75A34" w:rsidRDefault="00B75A34" w:rsidP="00B75A34">
            <w:pPr>
              <w:autoSpaceDE/>
              <w:autoSpaceDN/>
              <w:rPr>
                <w:color w:val="0A0A0A"/>
                <w:sz w:val="18"/>
                <w:szCs w:val="18"/>
              </w:rPr>
            </w:pPr>
            <w:r>
              <w:rPr>
                <w:sz w:val="18"/>
                <w:szCs w:val="18"/>
              </w:rPr>
              <w:t xml:space="preserve">* </w:t>
            </w:r>
            <w:r w:rsidR="00AA4DFC" w:rsidRPr="00B75A34">
              <w:rPr>
                <w:sz w:val="18"/>
                <w:szCs w:val="18"/>
              </w:rPr>
              <w:t>These figures are as at 1</w:t>
            </w:r>
            <w:r w:rsidR="00AA4DFC" w:rsidRPr="00B75A34">
              <w:rPr>
                <w:sz w:val="18"/>
                <w:szCs w:val="18"/>
                <w:vertAlign w:val="superscript"/>
              </w:rPr>
              <w:t>st</w:t>
            </w:r>
            <w:r w:rsidR="00AA4DFC" w:rsidRPr="00B75A34">
              <w:rPr>
                <w:sz w:val="18"/>
                <w:szCs w:val="18"/>
              </w:rPr>
              <w:t xml:space="preserve"> April 20</w:t>
            </w:r>
            <w:bookmarkStart w:id="0" w:name="_GoBack"/>
            <w:bookmarkEnd w:id="0"/>
            <w:r w:rsidRPr="00B75A34">
              <w:rPr>
                <w:sz w:val="18"/>
                <w:szCs w:val="18"/>
              </w:rPr>
              <w:t>22</w:t>
            </w:r>
            <w:r w:rsidR="00AA4DFC" w:rsidRPr="00B75A34">
              <w:rPr>
                <w:sz w:val="18"/>
                <w:szCs w:val="18"/>
              </w:rPr>
              <w:t xml:space="preserve"> - updated annually on 1</w:t>
            </w:r>
            <w:r w:rsidR="00AA4DFC" w:rsidRPr="00B75A34">
              <w:rPr>
                <w:sz w:val="18"/>
                <w:szCs w:val="18"/>
                <w:vertAlign w:val="superscript"/>
              </w:rPr>
              <w:t>st</w:t>
            </w:r>
            <w:r w:rsidR="00AA4DFC" w:rsidRPr="00B75A34">
              <w:rPr>
                <w:sz w:val="18"/>
                <w:szCs w:val="18"/>
              </w:rPr>
              <w:t xml:space="preserve"> April each year.</w:t>
            </w:r>
          </w:p>
          <w:p w:rsidR="00AA4DFC" w:rsidRDefault="00AA4DFC" w:rsidP="0069616E"/>
          <w:p w:rsidR="00AA4DFC" w:rsidRDefault="00AA4DFC" w:rsidP="0069616E">
            <w:r>
              <w:t>In the absence of the avoidance and mitigation package the City Council will not be able to lawfully grant planning permission.</w:t>
            </w:r>
          </w:p>
          <w:p w:rsidR="00AA4DFC" w:rsidRPr="00C15048" w:rsidRDefault="00AA4DFC" w:rsidP="0069616E">
            <w:pPr>
              <w:rPr>
                <w:b/>
              </w:rPr>
            </w:pPr>
          </w:p>
        </w:tc>
      </w:tr>
      <w:tr w:rsidR="00AA4DFC" w:rsidTr="0069616E">
        <w:tc>
          <w:tcPr>
            <w:tcW w:w="817" w:type="dxa"/>
          </w:tcPr>
          <w:p w:rsidR="00AA4DFC" w:rsidRDefault="00AA4DFC" w:rsidP="0069616E"/>
          <w:p w:rsidR="00AA4DFC" w:rsidRDefault="00AA4DFC" w:rsidP="0069616E">
            <w:r>
              <w:t>Q1</w:t>
            </w:r>
          </w:p>
        </w:tc>
        <w:tc>
          <w:tcPr>
            <w:tcW w:w="5991" w:type="dxa"/>
          </w:tcPr>
          <w:p w:rsidR="00AA4DFC" w:rsidRDefault="00AA4DFC" w:rsidP="0069616E"/>
          <w:p w:rsidR="00AA4DFC" w:rsidRDefault="00AA4DFC" w:rsidP="0069616E">
            <w:r>
              <w:t>The development is within 5.6 km of the Special Protection Area of the Solent</w:t>
            </w:r>
          </w:p>
          <w:p w:rsidR="00AA4DFC" w:rsidRDefault="00AA4DFC" w:rsidP="0069616E"/>
        </w:tc>
        <w:tc>
          <w:tcPr>
            <w:tcW w:w="2372" w:type="dxa"/>
          </w:tcPr>
          <w:p w:rsidR="00AA4DFC" w:rsidRDefault="00AA4DFC" w:rsidP="0069616E"/>
          <w:p w:rsidR="00AA4DFC" w:rsidRDefault="00AA4DFC" w:rsidP="0069616E">
            <w:r>
              <w:t>Yes / No</w:t>
            </w:r>
          </w:p>
          <w:p w:rsidR="00AA4DFC" w:rsidRPr="00C15048" w:rsidRDefault="00AA4DFC" w:rsidP="0069616E">
            <w:pPr>
              <w:rPr>
                <w:sz w:val="16"/>
                <w:szCs w:val="16"/>
              </w:rPr>
            </w:pPr>
            <w:r w:rsidRPr="00C15048">
              <w:rPr>
                <w:sz w:val="16"/>
                <w:szCs w:val="16"/>
              </w:rPr>
              <w:t>If you answer no</w:t>
            </w:r>
            <w:r>
              <w:rPr>
                <w:sz w:val="16"/>
                <w:szCs w:val="16"/>
              </w:rPr>
              <w:t xml:space="preserve"> </w:t>
            </w:r>
            <w:r w:rsidRPr="00C15048">
              <w:rPr>
                <w:sz w:val="16"/>
                <w:szCs w:val="16"/>
              </w:rPr>
              <w:t>you are not required to mitigate</w:t>
            </w:r>
            <w:r>
              <w:rPr>
                <w:sz w:val="16"/>
                <w:szCs w:val="16"/>
              </w:rPr>
              <w:t xml:space="preserve"> in respect of the Solent Recreation Mitigation Partnership.</w:t>
            </w:r>
          </w:p>
        </w:tc>
      </w:tr>
      <w:tr w:rsidR="00AA4DFC" w:rsidTr="0069616E">
        <w:tc>
          <w:tcPr>
            <w:tcW w:w="817" w:type="dxa"/>
          </w:tcPr>
          <w:p w:rsidR="00AA4DFC" w:rsidRDefault="00AA4DFC" w:rsidP="0069616E"/>
          <w:p w:rsidR="00AA4DFC" w:rsidRDefault="00AA4DFC" w:rsidP="0069616E">
            <w:r>
              <w:t>Q2</w:t>
            </w:r>
          </w:p>
        </w:tc>
        <w:tc>
          <w:tcPr>
            <w:tcW w:w="5991" w:type="dxa"/>
          </w:tcPr>
          <w:p w:rsidR="00AA4DFC" w:rsidRDefault="00AA4DFC" w:rsidP="0069616E"/>
          <w:p w:rsidR="00AA4DFC" w:rsidRDefault="00AA4DFC" w:rsidP="0069616E">
            <w:r>
              <w:t>I confirm that the proposed development will include an avoidance and mitigation package to accord with the Solent Recreation Mitigation Strategy</w:t>
            </w:r>
          </w:p>
          <w:p w:rsidR="00AA4DFC" w:rsidRDefault="00AA4DFC" w:rsidP="0069616E"/>
        </w:tc>
        <w:tc>
          <w:tcPr>
            <w:tcW w:w="2372" w:type="dxa"/>
          </w:tcPr>
          <w:p w:rsidR="00AA4DFC" w:rsidRDefault="00AA4DFC" w:rsidP="0069616E"/>
          <w:p w:rsidR="00AA4DFC" w:rsidRDefault="00AA4DFC" w:rsidP="0069616E">
            <w:r>
              <w:t>Yes / No</w:t>
            </w:r>
          </w:p>
          <w:p w:rsidR="00AA4DFC" w:rsidRDefault="00AA4DFC" w:rsidP="0069616E"/>
          <w:p w:rsidR="00AA4DFC" w:rsidRDefault="00AA4DFC" w:rsidP="0069616E">
            <w:r w:rsidRPr="00C15048">
              <w:rPr>
                <w:sz w:val="16"/>
                <w:szCs w:val="16"/>
              </w:rPr>
              <w:t>If you answer no</w:t>
            </w:r>
            <w:r>
              <w:rPr>
                <w:sz w:val="16"/>
                <w:szCs w:val="16"/>
              </w:rPr>
              <w:t xml:space="preserve">, please continue to Q3  </w:t>
            </w:r>
          </w:p>
          <w:p w:rsidR="00AA4DFC" w:rsidRDefault="00AA4DFC" w:rsidP="0069616E"/>
        </w:tc>
      </w:tr>
      <w:tr w:rsidR="00AA4DFC" w:rsidTr="0069616E">
        <w:tc>
          <w:tcPr>
            <w:tcW w:w="817" w:type="dxa"/>
          </w:tcPr>
          <w:p w:rsidR="00AA4DFC" w:rsidRDefault="00AA4DFC" w:rsidP="0069616E"/>
          <w:p w:rsidR="00AA4DFC" w:rsidRDefault="00AA4DFC" w:rsidP="0069616E">
            <w:r>
              <w:t>Q3</w:t>
            </w:r>
          </w:p>
        </w:tc>
        <w:tc>
          <w:tcPr>
            <w:tcW w:w="5991" w:type="dxa"/>
          </w:tcPr>
          <w:p w:rsidR="00AA4DFC" w:rsidRDefault="00AA4DFC" w:rsidP="0069616E">
            <w:r>
              <w:t xml:space="preserve"> </w:t>
            </w:r>
          </w:p>
          <w:p w:rsidR="00AA4DFC" w:rsidRDefault="00AA4DFC" w:rsidP="0069616E">
            <w:r>
              <w:t>I propose an alternative approach to avoiding and mitigating the recreational impacts arising out of the development proposed (if this is the case please supply more detail in your supporting documentation).</w:t>
            </w:r>
          </w:p>
          <w:p w:rsidR="00AA4DFC" w:rsidRDefault="00AA4DFC" w:rsidP="0069616E"/>
        </w:tc>
        <w:tc>
          <w:tcPr>
            <w:tcW w:w="2372" w:type="dxa"/>
          </w:tcPr>
          <w:p w:rsidR="00AA4DFC" w:rsidRDefault="00AA4DFC" w:rsidP="0069616E"/>
          <w:p w:rsidR="00AA4DFC" w:rsidRDefault="00AA4DFC" w:rsidP="0069616E">
            <w:r>
              <w:t>Yes / No</w:t>
            </w:r>
          </w:p>
        </w:tc>
      </w:tr>
    </w:tbl>
    <w:p w:rsidR="00AA4DFC" w:rsidRDefault="00AA4DFC" w:rsidP="00AA4DFC"/>
    <w:tbl>
      <w:tblPr>
        <w:tblStyle w:val="TableGrid"/>
        <w:tblW w:w="0" w:type="auto"/>
        <w:tblLook w:val="04A0" w:firstRow="1" w:lastRow="0" w:firstColumn="1" w:lastColumn="0" w:noHBand="0" w:noVBand="1"/>
      </w:tblPr>
      <w:tblGrid>
        <w:gridCol w:w="3080"/>
        <w:gridCol w:w="6162"/>
      </w:tblGrid>
      <w:tr w:rsidR="00AA4DFC" w:rsidTr="0069616E">
        <w:tc>
          <w:tcPr>
            <w:tcW w:w="3080" w:type="dxa"/>
          </w:tcPr>
          <w:p w:rsidR="00AA4DFC" w:rsidRDefault="00AA4DFC" w:rsidP="0069616E">
            <w:r>
              <w:t>Signed:</w:t>
            </w:r>
          </w:p>
          <w:p w:rsidR="00AA4DFC" w:rsidRDefault="00AA4DFC" w:rsidP="0069616E">
            <w:r>
              <w:t>Applicant / Agent *</w:t>
            </w:r>
          </w:p>
          <w:p w:rsidR="00AA4DFC" w:rsidRDefault="00AA4DFC" w:rsidP="0069616E"/>
        </w:tc>
        <w:tc>
          <w:tcPr>
            <w:tcW w:w="6162" w:type="dxa"/>
          </w:tcPr>
          <w:p w:rsidR="00AA4DFC" w:rsidRDefault="00AA4DFC" w:rsidP="0069616E"/>
        </w:tc>
      </w:tr>
      <w:tr w:rsidR="00AA4DFC" w:rsidTr="0069616E">
        <w:tc>
          <w:tcPr>
            <w:tcW w:w="3080" w:type="dxa"/>
          </w:tcPr>
          <w:p w:rsidR="00AA4DFC" w:rsidRDefault="00AA4DFC" w:rsidP="0069616E"/>
          <w:p w:rsidR="00AA4DFC" w:rsidRDefault="00AA4DFC" w:rsidP="0069616E">
            <w:r>
              <w:t>Print name:</w:t>
            </w:r>
          </w:p>
        </w:tc>
        <w:tc>
          <w:tcPr>
            <w:tcW w:w="6162" w:type="dxa"/>
          </w:tcPr>
          <w:p w:rsidR="00AA4DFC" w:rsidRDefault="00AA4DFC" w:rsidP="0069616E"/>
        </w:tc>
      </w:tr>
      <w:tr w:rsidR="00AA4DFC" w:rsidTr="0069616E">
        <w:tc>
          <w:tcPr>
            <w:tcW w:w="3080" w:type="dxa"/>
          </w:tcPr>
          <w:p w:rsidR="00AA4DFC" w:rsidRDefault="00AA4DFC" w:rsidP="0069616E"/>
          <w:p w:rsidR="00AA4DFC" w:rsidRDefault="00AA4DFC" w:rsidP="0069616E">
            <w:r>
              <w:lastRenderedPageBreak/>
              <w:t>Date:</w:t>
            </w:r>
          </w:p>
        </w:tc>
        <w:tc>
          <w:tcPr>
            <w:tcW w:w="6162" w:type="dxa"/>
          </w:tcPr>
          <w:p w:rsidR="00AA4DFC" w:rsidRDefault="00AA4DFC" w:rsidP="0069616E"/>
        </w:tc>
      </w:tr>
    </w:tbl>
    <w:p w:rsidR="00AA4DFC" w:rsidRDefault="00AA4DFC" w:rsidP="00AA4DFC">
      <w:r>
        <w:t xml:space="preserve">By signing and submitting this form to Winchester City Council the applicant is committing to provide mitigation packages, usually in the form of a financial contribution.  If the applicant answers yes to Q1 of the </w:t>
      </w:r>
      <w:r w:rsidRPr="00D03B8C">
        <w:t>Solent nitrogen nutrient water quality they acknowledge and understand that the scale of the contribution is unknown at this time</w:t>
      </w:r>
      <w:r>
        <w:rPr>
          <w:b/>
        </w:rPr>
        <w:t xml:space="preserve">. </w:t>
      </w:r>
      <w:r w:rsidRPr="00D03B8C">
        <w:t xml:space="preserve"> They also accept that if a Grampian condition is used on the grant of any planning permission that the mitigation is due prior to the occupation of the accommodation permitted.</w:t>
      </w:r>
    </w:p>
    <w:p w:rsidR="00AA4DFC" w:rsidRDefault="00AA4DFC" w:rsidP="00AA4DFC">
      <w:pPr>
        <w:pStyle w:val="BasicParagraph"/>
        <w:spacing w:line="240" w:lineRule="auto"/>
        <w:rPr>
          <w:rFonts w:ascii="ArialMT" w:hAnsi="ArialMT" w:cs="ArialMT"/>
        </w:rPr>
      </w:pPr>
    </w:p>
    <w:p w:rsidR="00AA4DFC" w:rsidRDefault="00AA4DFC" w:rsidP="00AA4DFC">
      <w:pPr>
        <w:spacing w:after="120"/>
        <w:rPr>
          <w:rFonts w:ascii="Helvetica" w:hAnsi="Helvetica" w:cs="Helvetica"/>
          <w:lang w:eastAsia="en-GB"/>
        </w:rPr>
      </w:pPr>
    </w:p>
    <w:p w:rsidR="005727B4" w:rsidRDefault="005727B4"/>
    <w:sectPr w:rsidR="005727B4" w:rsidSect="0049415B">
      <w:headerReference w:type="first" r:id="rId9"/>
      <w:footerReference w:type="first" r:id="rId10"/>
      <w:pgSz w:w="11909" w:h="16834" w:code="9"/>
      <w:pgMar w:top="1667" w:right="851" w:bottom="1440" w:left="1701" w:header="567" w:footer="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2A" w:rsidRDefault="0045772A" w:rsidP="00AA4DFC">
      <w:r>
        <w:separator/>
      </w:r>
    </w:p>
  </w:endnote>
  <w:endnote w:type="continuationSeparator" w:id="0">
    <w:p w:rsidR="0045772A" w:rsidRDefault="0045772A" w:rsidP="00AA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F3" w:rsidRDefault="00B75A34" w:rsidP="002A1B4D">
    <w:pPr>
      <w:ind w:left="-851"/>
    </w:pPr>
  </w:p>
  <w:p w:rsidR="00C16020" w:rsidRDefault="00B75A34" w:rsidP="002A1B4D">
    <w:pPr>
      <w:ind w:left="-851"/>
    </w:pPr>
  </w:p>
  <w:p w:rsidR="002A1B4D" w:rsidRDefault="00B75A34" w:rsidP="002A1B4D"/>
  <w:p w:rsidR="002A1B4D" w:rsidRDefault="00B7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2A" w:rsidRDefault="0045772A" w:rsidP="00AA4DFC">
      <w:r>
        <w:separator/>
      </w:r>
    </w:p>
  </w:footnote>
  <w:footnote w:type="continuationSeparator" w:id="0">
    <w:p w:rsidR="0045772A" w:rsidRDefault="0045772A" w:rsidP="00AA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1" w:rsidRPr="00E11C19" w:rsidRDefault="00AA4DFC" w:rsidP="00FC007E">
    <w:pPr>
      <w:pStyle w:val="Header"/>
      <w:tabs>
        <w:tab w:val="clear" w:pos="4320"/>
        <w:tab w:val="clear" w:pos="8640"/>
        <w:tab w:val="right" w:pos="9498"/>
      </w:tabs>
      <w:spacing w:line="240" w:lineRule="exact"/>
      <w:rPr>
        <w:sz w:val="20"/>
        <w:szCs w:val="20"/>
      </w:rPr>
    </w:pPr>
    <w:r>
      <w:rPr>
        <w:noProof/>
        <w:lang w:eastAsia="en-GB"/>
      </w:rPr>
      <w:drawing>
        <wp:anchor distT="0" distB="0" distL="114300" distR="114300" simplePos="0" relativeHeight="251658240" behindDoc="0" locked="0" layoutInCell="1" allowOverlap="1">
          <wp:simplePos x="0" y="0"/>
          <wp:positionH relativeFrom="column">
            <wp:posOffset>-878840</wp:posOffset>
          </wp:positionH>
          <wp:positionV relativeFrom="paragraph">
            <wp:posOffset>-290830</wp:posOffset>
          </wp:positionV>
          <wp:extent cx="3772535" cy="949960"/>
          <wp:effectExtent l="0" t="0" r="0" b="2540"/>
          <wp:wrapNone/>
          <wp:docPr id="1" name="Picture 1" descr="Winchester C C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chester C C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253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72A">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90E44"/>
    <w:multiLevelType w:val="multilevel"/>
    <w:tmpl w:val="FBFA3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BC680B"/>
    <w:multiLevelType w:val="multilevel"/>
    <w:tmpl w:val="785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FC"/>
    <w:rsid w:val="0045772A"/>
    <w:rsid w:val="005727B4"/>
    <w:rsid w:val="00AA4DFC"/>
    <w:rsid w:val="00B75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CC656"/>
  <w15:docId w15:val="{F209E5A8-4FB2-428B-9717-86540D0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DFC"/>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4DFC"/>
    <w:pPr>
      <w:tabs>
        <w:tab w:val="center" w:pos="4320"/>
        <w:tab w:val="right" w:pos="8640"/>
      </w:tabs>
      <w:autoSpaceDE/>
      <w:autoSpaceDN/>
    </w:pPr>
    <w:rPr>
      <w:sz w:val="22"/>
      <w:szCs w:val="22"/>
    </w:rPr>
  </w:style>
  <w:style w:type="character" w:customStyle="1" w:styleId="FooterChar">
    <w:name w:val="Footer Char"/>
    <w:basedOn w:val="DefaultParagraphFont"/>
    <w:link w:val="Footer"/>
    <w:uiPriority w:val="99"/>
    <w:rsid w:val="00AA4DFC"/>
    <w:rPr>
      <w:rFonts w:ascii="Arial" w:eastAsia="Times New Roman" w:hAnsi="Arial" w:cs="Arial"/>
    </w:rPr>
  </w:style>
  <w:style w:type="paragraph" w:styleId="Header">
    <w:name w:val="header"/>
    <w:basedOn w:val="Normal"/>
    <w:link w:val="HeaderChar"/>
    <w:uiPriority w:val="99"/>
    <w:rsid w:val="00AA4DFC"/>
    <w:pPr>
      <w:tabs>
        <w:tab w:val="center" w:pos="4320"/>
        <w:tab w:val="right" w:pos="8640"/>
      </w:tabs>
      <w:autoSpaceDE/>
      <w:autoSpaceDN/>
    </w:pPr>
    <w:rPr>
      <w:sz w:val="22"/>
      <w:szCs w:val="22"/>
    </w:rPr>
  </w:style>
  <w:style w:type="character" w:customStyle="1" w:styleId="HeaderChar">
    <w:name w:val="Header Char"/>
    <w:basedOn w:val="DefaultParagraphFont"/>
    <w:link w:val="Header"/>
    <w:uiPriority w:val="99"/>
    <w:rsid w:val="00AA4DFC"/>
    <w:rPr>
      <w:rFonts w:ascii="Arial" w:eastAsia="Times New Roman" w:hAnsi="Arial" w:cs="Arial"/>
    </w:rPr>
  </w:style>
  <w:style w:type="table" w:styleId="TableGrid">
    <w:name w:val="Table Grid"/>
    <w:basedOn w:val="TableNormal"/>
    <w:uiPriority w:val="59"/>
    <w:rsid w:val="00AA4DFC"/>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4DFC"/>
    <w:rPr>
      <w:rFonts w:cs="Times New Roman"/>
      <w:color w:val="0000FF"/>
      <w:u w:val="single"/>
    </w:rPr>
  </w:style>
  <w:style w:type="paragraph" w:customStyle="1" w:styleId="BasicParagraph">
    <w:name w:val="[Basic Paragraph]"/>
    <w:basedOn w:val="Normal"/>
    <w:uiPriority w:val="99"/>
    <w:rsid w:val="00AA4DFC"/>
    <w:pPr>
      <w:adjustRightInd w:val="0"/>
      <w:spacing w:line="288" w:lineRule="auto"/>
    </w:pPr>
    <w:rPr>
      <w:rFonts w:ascii="MinionPro-Regular" w:hAnsi="MinionPro-Regular" w:cs="MinionPro-Regular"/>
      <w:color w:val="000000"/>
    </w:rPr>
  </w:style>
  <w:style w:type="paragraph" w:styleId="ListParagraph">
    <w:name w:val="List Paragraph"/>
    <w:basedOn w:val="Normal"/>
    <w:uiPriority w:val="34"/>
    <w:qFormat/>
    <w:rsid w:val="00B7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home" TargetMode="External"/><Relationship Id="rId3" Type="http://schemas.openxmlformats.org/officeDocument/2006/relationships/settings" Target="settings.xml"/><Relationship Id="rId7" Type="http://schemas.openxmlformats.org/officeDocument/2006/relationships/hyperlink" Target="https://www.winchester.gov.uk/planning/solent-recreation-mitigation-partn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Sansome</dc:creator>
  <cp:lastModifiedBy>Robert Green</cp:lastModifiedBy>
  <cp:revision>2</cp:revision>
  <dcterms:created xsi:type="dcterms:W3CDTF">2022-07-26T15:36:00Z</dcterms:created>
  <dcterms:modified xsi:type="dcterms:W3CDTF">2022-07-26T15:36:00Z</dcterms:modified>
</cp:coreProperties>
</file>