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A70E3" w14:textId="6A3D2DA5" w:rsidR="00E8417F" w:rsidRDefault="00E8417F">
      <w:pPr>
        <w:spacing w:after="0" w:line="259" w:lineRule="auto"/>
        <w:ind w:left="67" w:firstLine="0"/>
      </w:pPr>
    </w:p>
    <w:p w14:paraId="4A725FC5" w14:textId="49B64030" w:rsidR="00E8417F" w:rsidRPr="00D35D2A" w:rsidRDefault="00D35D2A" w:rsidP="00D35D2A">
      <w:pPr>
        <w:spacing w:after="0" w:line="259" w:lineRule="auto"/>
        <w:ind w:left="67" w:firstLine="0"/>
        <w:rPr>
          <w:b/>
          <w:bCs/>
        </w:rPr>
      </w:pPr>
      <w:r w:rsidRPr="00D35D2A">
        <w:rPr>
          <w:b/>
          <w:bCs/>
        </w:rPr>
        <w:t xml:space="preserve">Winchester City Council </w:t>
      </w:r>
      <w:r w:rsidR="002A2550">
        <w:rPr>
          <w:b/>
          <w:bCs/>
        </w:rPr>
        <w:t xml:space="preserve">District </w:t>
      </w:r>
      <w:r w:rsidRPr="00D35D2A">
        <w:rPr>
          <w:b/>
          <w:bCs/>
        </w:rPr>
        <w:t>Project Grant Scheme 202</w:t>
      </w:r>
      <w:r w:rsidR="002A2550">
        <w:rPr>
          <w:b/>
          <w:bCs/>
        </w:rPr>
        <w:t>4</w:t>
      </w:r>
      <w:r w:rsidRPr="00D35D2A">
        <w:rPr>
          <w:b/>
          <w:bCs/>
        </w:rPr>
        <w:t>/202</w:t>
      </w:r>
      <w:r w:rsidR="002A2550">
        <w:rPr>
          <w:b/>
          <w:bCs/>
        </w:rPr>
        <w:t>5</w:t>
      </w:r>
      <w:r w:rsidRPr="00D35D2A">
        <w:rPr>
          <w:b/>
          <w:bCs/>
        </w:rPr>
        <w:t xml:space="preserve"> </w:t>
      </w:r>
    </w:p>
    <w:p w14:paraId="20D0DFDC" w14:textId="77777777" w:rsidR="00E8417F" w:rsidRPr="009444A7" w:rsidRDefault="00D35D2A">
      <w:pPr>
        <w:spacing w:after="0" w:line="259" w:lineRule="auto"/>
        <w:ind w:left="53" w:firstLine="0"/>
        <w:rPr>
          <w:sz w:val="12"/>
          <w:szCs w:val="12"/>
        </w:rPr>
      </w:pPr>
      <w:r>
        <w:t xml:space="preserve"> </w:t>
      </w:r>
    </w:p>
    <w:p w14:paraId="0828C5DB" w14:textId="29B889FD" w:rsidR="00E8417F" w:rsidRDefault="00D35D2A">
      <w:pPr>
        <w:ind w:left="63"/>
      </w:pPr>
      <w:r>
        <w:t xml:space="preserve">The </w:t>
      </w:r>
      <w:r w:rsidR="002A2550">
        <w:t>District Project</w:t>
      </w:r>
      <w:r>
        <w:t xml:space="preserve"> Grant Scheme 202</w:t>
      </w:r>
      <w:r w:rsidR="002A2550">
        <w:t>4</w:t>
      </w:r>
      <w:r>
        <w:t>/</w:t>
      </w:r>
      <w:r w:rsidR="00291DAE">
        <w:t>20</w:t>
      </w:r>
      <w:r>
        <w:t>2</w:t>
      </w:r>
      <w:r w:rsidR="002A2550">
        <w:t>5</w:t>
      </w:r>
      <w:r>
        <w:t xml:space="preserve"> aims to support not-for-profit organisations with the cost of running existing or new projects which to help deliver cohesive, </w:t>
      </w:r>
      <w:proofErr w:type="gramStart"/>
      <w:r>
        <w:t>sustainable</w:t>
      </w:r>
      <w:proofErr w:type="gramEnd"/>
      <w:r>
        <w:t xml:space="preserve"> and resilient communities across the Winchester district. Grants of up to £5,000 are available and organisations are required to secure a minimum of 25% of the total project cost in match funding from other sources.  </w:t>
      </w:r>
    </w:p>
    <w:p w14:paraId="1F3B0840" w14:textId="77777777" w:rsidR="00E8417F" w:rsidRPr="009444A7" w:rsidRDefault="00D35D2A">
      <w:pPr>
        <w:spacing w:after="0" w:line="259" w:lineRule="auto"/>
        <w:ind w:left="67" w:firstLine="0"/>
        <w:rPr>
          <w:sz w:val="12"/>
          <w:szCs w:val="12"/>
        </w:rPr>
      </w:pPr>
      <w:r>
        <w:t xml:space="preserve">  </w:t>
      </w:r>
    </w:p>
    <w:p w14:paraId="36B840BD" w14:textId="77777777" w:rsidR="00E8417F" w:rsidRDefault="00D35D2A">
      <w:pPr>
        <w:spacing w:line="255" w:lineRule="auto"/>
      </w:pPr>
      <w:r>
        <w:rPr>
          <w:b/>
        </w:rPr>
        <w:t>Projects should have clearly defined outcomes which meet one of more of the following council priority funding themes</w:t>
      </w:r>
      <w:r>
        <w:t xml:space="preserve">:  </w:t>
      </w:r>
    </w:p>
    <w:p w14:paraId="5598630F" w14:textId="77777777" w:rsidR="00E8417F" w:rsidRDefault="00D35D2A">
      <w:pPr>
        <w:spacing w:after="19" w:line="259" w:lineRule="auto"/>
        <w:ind w:left="67" w:firstLine="0"/>
      </w:pPr>
      <w:r>
        <w:t xml:space="preserve">  </w:t>
      </w:r>
    </w:p>
    <w:p w14:paraId="521D0C77" w14:textId="77777777" w:rsidR="00E8417F" w:rsidRDefault="00D35D2A">
      <w:pPr>
        <w:ind w:left="63"/>
      </w:pPr>
      <w:r>
        <w:t xml:space="preserve">Priority 1: Dealing with peoples and communities’ </w:t>
      </w:r>
      <w:proofErr w:type="gramStart"/>
      <w:r>
        <w:t>needs</w:t>
      </w:r>
      <w:proofErr w:type="gramEnd"/>
      <w:r>
        <w:t xml:space="preserve">  </w:t>
      </w:r>
    </w:p>
    <w:p w14:paraId="3F741F27" w14:textId="77777777" w:rsidR="00E8417F" w:rsidRDefault="00D35D2A">
      <w:pPr>
        <w:numPr>
          <w:ilvl w:val="0"/>
          <w:numId w:val="2"/>
        </w:numPr>
        <w:ind w:hanging="360"/>
      </w:pPr>
      <w:r>
        <w:t xml:space="preserve">Isolation  </w:t>
      </w:r>
    </w:p>
    <w:p w14:paraId="64DBE08D" w14:textId="77777777" w:rsidR="00E8417F" w:rsidRDefault="00D35D2A">
      <w:pPr>
        <w:numPr>
          <w:ilvl w:val="0"/>
          <w:numId w:val="2"/>
        </w:numPr>
        <w:ind w:hanging="360"/>
      </w:pPr>
      <w:r>
        <w:t xml:space="preserve">Low income  </w:t>
      </w:r>
    </w:p>
    <w:p w14:paraId="624262B4" w14:textId="77777777" w:rsidR="00E8417F" w:rsidRDefault="00D35D2A">
      <w:pPr>
        <w:numPr>
          <w:ilvl w:val="0"/>
          <w:numId w:val="2"/>
        </w:numPr>
        <w:ind w:hanging="360"/>
      </w:pPr>
      <w:r>
        <w:t xml:space="preserve">Mental health  </w:t>
      </w:r>
    </w:p>
    <w:p w14:paraId="27D1794B" w14:textId="77777777" w:rsidR="00E8417F" w:rsidRDefault="00D35D2A">
      <w:pPr>
        <w:numPr>
          <w:ilvl w:val="0"/>
          <w:numId w:val="2"/>
        </w:numPr>
        <w:ind w:hanging="360"/>
      </w:pPr>
      <w:r>
        <w:t xml:space="preserve">Homelessness  </w:t>
      </w:r>
    </w:p>
    <w:p w14:paraId="2A270D49" w14:textId="77777777" w:rsidR="00E8417F" w:rsidRDefault="00D35D2A">
      <w:pPr>
        <w:numPr>
          <w:ilvl w:val="0"/>
          <w:numId w:val="2"/>
        </w:numPr>
        <w:ind w:hanging="360"/>
      </w:pPr>
      <w:r>
        <w:t xml:space="preserve">Physical inactivity  </w:t>
      </w:r>
    </w:p>
    <w:p w14:paraId="37357798" w14:textId="77777777" w:rsidR="00E8417F" w:rsidRDefault="00D35D2A">
      <w:pPr>
        <w:spacing w:after="0" w:line="259" w:lineRule="auto"/>
        <w:ind w:left="67" w:firstLine="0"/>
      </w:pPr>
      <w:r>
        <w:t xml:space="preserve">  </w:t>
      </w:r>
    </w:p>
    <w:p w14:paraId="1939E667" w14:textId="77777777" w:rsidR="00E8417F" w:rsidRDefault="00D35D2A">
      <w:pPr>
        <w:ind w:left="63"/>
      </w:pPr>
      <w:r>
        <w:t xml:space="preserve">Priority 2: Striving for positive </w:t>
      </w:r>
      <w:proofErr w:type="gramStart"/>
      <w:r>
        <w:t>change</w:t>
      </w:r>
      <w:proofErr w:type="gramEnd"/>
      <w:r>
        <w:t xml:space="preserve">  </w:t>
      </w:r>
    </w:p>
    <w:p w14:paraId="5D48AB46" w14:textId="77777777" w:rsidR="00E8417F" w:rsidRDefault="00D35D2A">
      <w:pPr>
        <w:numPr>
          <w:ilvl w:val="0"/>
          <w:numId w:val="2"/>
        </w:numPr>
        <w:ind w:hanging="360"/>
      </w:pPr>
      <w:r>
        <w:t xml:space="preserve">The climate emergency  </w:t>
      </w:r>
    </w:p>
    <w:p w14:paraId="47DF7C90" w14:textId="77777777" w:rsidR="00E8417F" w:rsidRDefault="00D35D2A">
      <w:pPr>
        <w:numPr>
          <w:ilvl w:val="0"/>
          <w:numId w:val="2"/>
        </w:numPr>
        <w:ind w:hanging="360"/>
      </w:pPr>
      <w:r>
        <w:t xml:space="preserve">Digital application, </w:t>
      </w:r>
      <w:proofErr w:type="gramStart"/>
      <w:r>
        <w:t>services</w:t>
      </w:r>
      <w:proofErr w:type="gramEnd"/>
      <w:r>
        <w:t xml:space="preserve"> and products  </w:t>
      </w:r>
    </w:p>
    <w:p w14:paraId="63BA7BDF" w14:textId="77777777" w:rsidR="00E8417F" w:rsidRDefault="00D35D2A">
      <w:pPr>
        <w:numPr>
          <w:ilvl w:val="0"/>
          <w:numId w:val="2"/>
        </w:numPr>
        <w:ind w:hanging="360"/>
      </w:pPr>
      <w:r>
        <w:t xml:space="preserve">Creative and innovative  </w:t>
      </w:r>
    </w:p>
    <w:p w14:paraId="042F18DF" w14:textId="77777777" w:rsidR="00E8417F" w:rsidRDefault="00D35D2A">
      <w:pPr>
        <w:numPr>
          <w:ilvl w:val="0"/>
          <w:numId w:val="2"/>
        </w:numPr>
        <w:ind w:hanging="360"/>
      </w:pPr>
      <w:r>
        <w:t xml:space="preserve">Business growth  </w:t>
      </w:r>
    </w:p>
    <w:p w14:paraId="1DD9C3FC" w14:textId="77777777" w:rsidR="00E8417F" w:rsidRPr="009444A7" w:rsidRDefault="00D35D2A">
      <w:pPr>
        <w:spacing w:after="0" w:line="259" w:lineRule="auto"/>
        <w:ind w:left="67" w:firstLine="0"/>
        <w:rPr>
          <w:sz w:val="12"/>
          <w:szCs w:val="12"/>
        </w:rPr>
      </w:pPr>
      <w:r>
        <w:t xml:space="preserve">  </w:t>
      </w:r>
    </w:p>
    <w:p w14:paraId="509CA68F" w14:textId="5218FF32" w:rsidR="00283BCA" w:rsidRDefault="00283BCA" w:rsidP="00B33083">
      <w:pPr>
        <w:spacing w:after="0" w:line="259" w:lineRule="auto"/>
      </w:pPr>
      <w:r>
        <w:t xml:space="preserve">We update our criteria from time to time so please make sure you read the documentation carefully and let us know if you have any queries. </w:t>
      </w:r>
      <w:r>
        <w:rPr>
          <w:color w:val="0A0A0A"/>
        </w:rPr>
        <w:t xml:space="preserve">The community grants team can help with any questions you have about the scheme and can support applicants to make an application. The team can be contacted by email to </w:t>
      </w:r>
      <w:r>
        <w:rPr>
          <w:color w:val="0000FF"/>
          <w:u w:val="single" w:color="0000FF"/>
        </w:rPr>
        <w:t>grants@winchester.gov.uk</w:t>
      </w:r>
      <w:r>
        <w:rPr>
          <w:color w:val="0A0A0A"/>
        </w:rPr>
        <w:t xml:space="preserve">. In addition if you would like to discuss an application in more detail, or if you are a new applicant please contact the </w:t>
      </w:r>
      <w:r>
        <w:t xml:space="preserve">Funding &amp; Development Officer: Jane Chuhan, </w:t>
      </w:r>
      <w:hyperlink r:id="rId10" w:history="1">
        <w:r w:rsidRPr="007104B4">
          <w:rPr>
            <w:rStyle w:val="Hyperlink"/>
          </w:rPr>
          <w:t>jchuhan@winchester.gov.uk</w:t>
        </w:r>
      </w:hyperlink>
      <w:r>
        <w:rPr>
          <w:color w:val="0000FF"/>
          <w:u w:val="single" w:color="0000FF"/>
        </w:rPr>
        <w:t>,</w:t>
      </w:r>
      <w:r>
        <w:t xml:space="preserve">  01962 848 256.</w:t>
      </w:r>
    </w:p>
    <w:p w14:paraId="1165B1F6" w14:textId="6E7E71AB" w:rsidR="00E8417F" w:rsidRDefault="00D35D2A">
      <w:pPr>
        <w:spacing w:after="0" w:line="259" w:lineRule="auto"/>
        <w:ind w:left="67" w:firstLine="0"/>
      </w:pPr>
      <w:r>
        <w:t xml:space="preserve">   </w:t>
      </w:r>
    </w:p>
    <w:p w14:paraId="5E4A244D" w14:textId="17FA2818" w:rsidR="00E8417F" w:rsidRDefault="00D35D2A" w:rsidP="00B33083">
      <w:pPr>
        <w:pStyle w:val="Heading1"/>
        <w:ind w:left="77"/>
      </w:pPr>
      <w:r>
        <w:t xml:space="preserve">Key Dates  </w:t>
      </w:r>
    </w:p>
    <w:p w14:paraId="5D5F80A7" w14:textId="1024ED83" w:rsidR="00E8417F" w:rsidRDefault="007903EF">
      <w:pPr>
        <w:numPr>
          <w:ilvl w:val="0"/>
          <w:numId w:val="3"/>
        </w:numPr>
        <w:ind w:hanging="427"/>
      </w:pPr>
      <w:r>
        <w:t>O</w:t>
      </w:r>
      <w:r w:rsidR="00D35D2A">
        <w:t xml:space="preserve">pens: </w:t>
      </w:r>
      <w:r>
        <w:t xml:space="preserve">22 </w:t>
      </w:r>
      <w:r w:rsidR="00D35D2A">
        <w:t>Ju</w:t>
      </w:r>
      <w:r>
        <w:t>ly</w:t>
      </w:r>
      <w:r w:rsidR="00D35D2A">
        <w:t xml:space="preserve"> 202</w:t>
      </w:r>
      <w:r w:rsidR="002A2550">
        <w:t>4</w:t>
      </w:r>
      <w:r w:rsidR="00D35D2A">
        <w:t xml:space="preserve"> </w:t>
      </w:r>
    </w:p>
    <w:p w14:paraId="33D768FA" w14:textId="73B88404" w:rsidR="00E8417F" w:rsidRDefault="007903EF">
      <w:pPr>
        <w:numPr>
          <w:ilvl w:val="0"/>
          <w:numId w:val="3"/>
        </w:numPr>
        <w:ind w:hanging="427"/>
      </w:pPr>
      <w:r>
        <w:t>Closes</w:t>
      </w:r>
      <w:r w:rsidR="00D35D2A">
        <w:t xml:space="preserve">: </w:t>
      </w:r>
      <w:r>
        <w:t>30</w:t>
      </w:r>
      <w:r w:rsidR="00D35D2A">
        <w:t xml:space="preserve"> </w:t>
      </w:r>
      <w:r w:rsidR="006309DF">
        <w:t>September</w:t>
      </w:r>
      <w:r w:rsidR="00D35D2A">
        <w:t xml:space="preserve"> 202</w:t>
      </w:r>
      <w:r w:rsidR="002A2550">
        <w:t>4</w:t>
      </w:r>
      <w:r w:rsidR="00D35D2A">
        <w:t xml:space="preserve">  </w:t>
      </w:r>
    </w:p>
    <w:p w14:paraId="69E2FE48" w14:textId="225F619D" w:rsidR="00E8417F" w:rsidRDefault="00D35D2A">
      <w:pPr>
        <w:numPr>
          <w:ilvl w:val="0"/>
          <w:numId w:val="3"/>
        </w:numPr>
        <w:ind w:hanging="427"/>
      </w:pPr>
      <w:r>
        <w:t xml:space="preserve">Applicants notified of outcome: </w:t>
      </w:r>
      <w:r w:rsidR="007903EF">
        <w:t xml:space="preserve">October </w:t>
      </w:r>
      <w:r w:rsidR="002A2550">
        <w:t>2024</w:t>
      </w:r>
      <w:r>
        <w:t xml:space="preserve"> </w:t>
      </w:r>
    </w:p>
    <w:p w14:paraId="44420A97" w14:textId="21D1B86D" w:rsidR="00E8417F" w:rsidRDefault="00D35D2A">
      <w:pPr>
        <w:numPr>
          <w:ilvl w:val="0"/>
          <w:numId w:val="3"/>
        </w:numPr>
        <w:ind w:hanging="427"/>
      </w:pPr>
      <w:r>
        <w:t>Grant expenditure</w:t>
      </w:r>
      <w:r w:rsidR="007D7C6C">
        <w:t xml:space="preserve"> and reports</w:t>
      </w:r>
      <w:r>
        <w:t xml:space="preserve"> must be complete and final grant payments </w:t>
      </w:r>
      <w:r w:rsidR="007D7C6C">
        <w:t xml:space="preserve">requested </w:t>
      </w:r>
      <w:r>
        <w:t xml:space="preserve">by </w:t>
      </w:r>
      <w:r w:rsidR="007D7C6C">
        <w:t>28</w:t>
      </w:r>
      <w:r>
        <w:t xml:space="preserve"> </w:t>
      </w:r>
      <w:r w:rsidR="007D7C6C">
        <w:t>February</w:t>
      </w:r>
      <w:r>
        <w:t xml:space="preserve"> 202</w:t>
      </w:r>
      <w:r w:rsidR="002A2550">
        <w:t>5</w:t>
      </w:r>
      <w:r>
        <w:t xml:space="preserve">.  </w:t>
      </w:r>
    </w:p>
    <w:p w14:paraId="093D7788" w14:textId="03DBA9F5" w:rsidR="00E8417F" w:rsidRDefault="00D35D2A">
      <w:pPr>
        <w:spacing w:after="0" w:line="259" w:lineRule="auto"/>
        <w:ind w:left="67" w:firstLine="0"/>
      </w:pPr>
      <w:r>
        <w:lastRenderedPageBreak/>
        <w:t xml:space="preserve">  </w:t>
      </w:r>
    </w:p>
    <w:p w14:paraId="5E9D1AA9" w14:textId="77777777" w:rsidR="00291DAE" w:rsidRPr="00CC396A" w:rsidRDefault="00291DAE" w:rsidP="00291DAE">
      <w:pPr>
        <w:spacing w:after="36" w:line="259" w:lineRule="auto"/>
        <w:ind w:left="14" w:firstLine="0"/>
        <w:rPr>
          <w:b/>
          <w:bCs/>
        </w:rPr>
      </w:pPr>
      <w:r w:rsidRPr="00CC396A">
        <w:rPr>
          <w:b/>
          <w:bCs/>
        </w:rPr>
        <w:t xml:space="preserve">Who can </w:t>
      </w:r>
      <w:proofErr w:type="gramStart"/>
      <w:r w:rsidRPr="00CC396A">
        <w:rPr>
          <w:b/>
          <w:bCs/>
        </w:rPr>
        <w:t>apply</w:t>
      </w:r>
      <w:proofErr w:type="gramEnd"/>
      <w:r w:rsidRPr="00CC396A">
        <w:rPr>
          <w:b/>
          <w:bCs/>
        </w:rPr>
        <w:t xml:space="preserve">      </w:t>
      </w:r>
    </w:p>
    <w:p w14:paraId="4C14A59A" w14:textId="77777777" w:rsidR="00291DAE" w:rsidRDefault="00291DAE" w:rsidP="00291DAE">
      <w:pPr>
        <w:spacing w:after="25" w:line="259" w:lineRule="auto"/>
        <w:ind w:left="43" w:firstLine="0"/>
      </w:pPr>
      <w:r>
        <w:rPr>
          <w:rFonts w:ascii="Times New Roman" w:eastAsia="Times New Roman" w:hAnsi="Times New Roman" w:cs="Times New Roman"/>
          <w:sz w:val="20"/>
        </w:rPr>
        <w:t xml:space="preserve"> </w:t>
      </w:r>
      <w:r>
        <w:t xml:space="preserve">     </w:t>
      </w:r>
    </w:p>
    <w:p w14:paraId="4F21E77A" w14:textId="77777777" w:rsidR="00291DAE" w:rsidRDefault="00291DAE" w:rsidP="00291DAE">
      <w:pPr>
        <w:spacing w:after="0" w:line="271" w:lineRule="auto"/>
        <w:ind w:left="62" w:right="505" w:hanging="11"/>
      </w:pPr>
      <w:bookmarkStart w:id="0" w:name="_Hlk164759562"/>
      <w:r>
        <w:t xml:space="preserve">Local not-for-profit organisations </w:t>
      </w:r>
      <w:bookmarkEnd w:id="0"/>
      <w:r>
        <w:t>that operate for the direct benefit of residents of the Winchester District</w:t>
      </w:r>
      <w:r>
        <w:rPr>
          <w:color w:val="FF0000"/>
        </w:rPr>
        <w:t xml:space="preserve">. </w:t>
      </w:r>
      <w:r>
        <w:t xml:space="preserve">Please see our </w:t>
      </w:r>
      <w:hyperlink r:id="rId11">
        <w:r>
          <w:rPr>
            <w:u w:val="single" w:color="000000"/>
          </w:rPr>
          <w:t>War</w:t>
        </w:r>
      </w:hyperlink>
      <w:hyperlink r:id="rId12">
        <w:r>
          <w:rPr>
            <w:u w:val="single" w:color="000000"/>
          </w:rPr>
          <w:t>d</w:t>
        </w:r>
      </w:hyperlink>
      <w:hyperlink r:id="rId13">
        <w:r>
          <w:rPr>
            <w:u w:val="single" w:color="000000"/>
          </w:rPr>
          <w:t xml:space="preserve"> </w:t>
        </w:r>
      </w:hyperlink>
      <w:hyperlink r:id="rId14">
        <w:r>
          <w:rPr>
            <w:u w:val="single" w:color="000000"/>
          </w:rPr>
          <w:t>M</w:t>
        </w:r>
      </w:hyperlink>
      <w:hyperlink r:id="rId15">
        <w:r>
          <w:rPr>
            <w:u w:val="single" w:color="000000"/>
          </w:rPr>
          <w:t>a</w:t>
        </w:r>
      </w:hyperlink>
      <w:hyperlink r:id="rId16">
        <w:r>
          <w:rPr>
            <w:u w:val="single" w:color="000000"/>
          </w:rPr>
          <w:t>p</w:t>
        </w:r>
      </w:hyperlink>
      <w:hyperlink r:id="rId17">
        <w:r>
          <w:t xml:space="preserve"> </w:t>
        </w:r>
      </w:hyperlink>
      <w:hyperlink r:id="rId18">
        <w:r>
          <w:t>fo</w:t>
        </w:r>
      </w:hyperlink>
      <w:hyperlink r:id="rId19">
        <w:r>
          <w:t>r</w:t>
        </w:r>
      </w:hyperlink>
      <w:hyperlink r:id="rId20">
        <w:r>
          <w:t xml:space="preserve"> </w:t>
        </w:r>
      </w:hyperlink>
      <w:hyperlink r:id="rId21">
        <w:r>
          <w:t>m</w:t>
        </w:r>
      </w:hyperlink>
      <w:r>
        <w:t xml:space="preserve">ore information. The following organisation types are eligible:  </w:t>
      </w:r>
    </w:p>
    <w:p w14:paraId="62BA07B0" w14:textId="77777777" w:rsidR="00291DAE" w:rsidRDefault="00291DAE" w:rsidP="00291DAE">
      <w:pPr>
        <w:numPr>
          <w:ilvl w:val="0"/>
          <w:numId w:val="11"/>
        </w:numPr>
        <w:ind w:hanging="360"/>
      </w:pPr>
      <w:r>
        <w:t xml:space="preserve">Local not-for-profit groups  </w:t>
      </w:r>
    </w:p>
    <w:p w14:paraId="15C5D903" w14:textId="77777777" w:rsidR="00291DAE" w:rsidRDefault="00291DAE" w:rsidP="00291DAE">
      <w:pPr>
        <w:numPr>
          <w:ilvl w:val="0"/>
          <w:numId w:val="11"/>
        </w:numPr>
        <w:ind w:hanging="360"/>
      </w:pPr>
      <w:r>
        <w:t xml:space="preserve">Community organisations  </w:t>
      </w:r>
    </w:p>
    <w:p w14:paraId="6222F50C" w14:textId="77777777" w:rsidR="00291DAE" w:rsidRDefault="00291DAE" w:rsidP="00291DAE">
      <w:pPr>
        <w:numPr>
          <w:ilvl w:val="0"/>
          <w:numId w:val="11"/>
        </w:numPr>
        <w:ind w:hanging="360"/>
      </w:pPr>
      <w:r>
        <w:t xml:space="preserve">Registered charities   </w:t>
      </w:r>
    </w:p>
    <w:p w14:paraId="721FA699" w14:textId="77777777" w:rsidR="00291DAE" w:rsidRDefault="00291DAE" w:rsidP="00291DAE">
      <w:pPr>
        <w:numPr>
          <w:ilvl w:val="0"/>
          <w:numId w:val="11"/>
        </w:numPr>
        <w:ind w:hanging="360"/>
      </w:pPr>
      <w:r>
        <w:t xml:space="preserve">Community Interest Companies limited by </w:t>
      </w:r>
      <w:proofErr w:type="gramStart"/>
      <w:r>
        <w:t>guarantee</w:t>
      </w:r>
      <w:proofErr w:type="gramEnd"/>
      <w:r>
        <w:t xml:space="preserve"> </w:t>
      </w:r>
    </w:p>
    <w:p w14:paraId="4347223C" w14:textId="77777777" w:rsidR="00291DAE" w:rsidRDefault="00291DAE" w:rsidP="00291DAE">
      <w:pPr>
        <w:numPr>
          <w:ilvl w:val="0"/>
          <w:numId w:val="11"/>
        </w:numPr>
        <w:ind w:hanging="360"/>
      </w:pPr>
      <w:r>
        <w:t xml:space="preserve">Parish Councils  </w:t>
      </w:r>
    </w:p>
    <w:p w14:paraId="1AF92BF2" w14:textId="77777777" w:rsidR="00291DAE" w:rsidRDefault="00291DAE" w:rsidP="00291DAE">
      <w:pPr>
        <w:ind w:left="5" w:right="572"/>
      </w:pPr>
    </w:p>
    <w:p w14:paraId="641795B7" w14:textId="77777777" w:rsidR="00291DAE" w:rsidRDefault="00291DAE" w:rsidP="00291DAE">
      <w:pPr>
        <w:ind w:left="5" w:right="572"/>
      </w:pPr>
      <w:r>
        <w:t xml:space="preserve">Please note:      </w:t>
      </w:r>
    </w:p>
    <w:p w14:paraId="77D76D29" w14:textId="77777777" w:rsidR="00291DAE" w:rsidRDefault="00291DAE" w:rsidP="00291DAE">
      <w:pPr>
        <w:pStyle w:val="ListParagraph"/>
        <w:numPr>
          <w:ilvl w:val="0"/>
          <w:numId w:val="12"/>
        </w:numPr>
        <w:spacing w:after="35" w:line="255" w:lineRule="auto"/>
        <w:ind w:right="135"/>
      </w:pPr>
      <w:r w:rsidRPr="003D3079">
        <w:rPr>
          <w:color w:val="0A0A0A"/>
        </w:rPr>
        <w:t>Organisations applying will need to demonstrate community benefit.</w:t>
      </w:r>
      <w:r>
        <w:t xml:space="preserve"> </w:t>
      </w:r>
    </w:p>
    <w:p w14:paraId="1E83BC60" w14:textId="77777777" w:rsidR="00291DAE" w:rsidRDefault="00291DAE" w:rsidP="00291DAE">
      <w:pPr>
        <w:numPr>
          <w:ilvl w:val="0"/>
          <w:numId w:val="12"/>
        </w:numPr>
        <w:spacing w:after="31" w:line="270" w:lineRule="auto"/>
        <w:ind w:right="572"/>
      </w:pPr>
      <w:r>
        <w:t xml:space="preserve">Every group and organisation should have a constitution or documentation which includes a formal decision-making process and aims that are acceptable to Winchester City Council.   </w:t>
      </w:r>
    </w:p>
    <w:p w14:paraId="3EDE79BB" w14:textId="77777777" w:rsidR="00291DAE" w:rsidRDefault="00291DAE" w:rsidP="00291DAE">
      <w:pPr>
        <w:numPr>
          <w:ilvl w:val="0"/>
          <w:numId w:val="12"/>
        </w:numPr>
        <w:spacing w:after="31" w:line="270" w:lineRule="auto"/>
        <w:ind w:right="572"/>
      </w:pPr>
      <w:r>
        <w:t xml:space="preserve">In the case of registered </w:t>
      </w:r>
      <w:proofErr w:type="gramStart"/>
      <w:r>
        <w:t>charities</w:t>
      </w:r>
      <w:proofErr w:type="gramEnd"/>
      <w:r>
        <w:t xml:space="preserve"> they must comply with the standards laid down by the Charity Commission.</w:t>
      </w:r>
    </w:p>
    <w:p w14:paraId="77F0C004" w14:textId="77777777" w:rsidR="00291DAE" w:rsidRPr="002D36CF" w:rsidRDefault="00291DAE" w:rsidP="00291DAE">
      <w:pPr>
        <w:numPr>
          <w:ilvl w:val="0"/>
          <w:numId w:val="12"/>
        </w:numPr>
        <w:spacing w:after="31" w:line="270" w:lineRule="auto"/>
        <w:ind w:right="572"/>
      </w:pPr>
      <w:r w:rsidRPr="002D36CF">
        <w:t>If you are a school/pre-school or an organisation working with one, your activity must benefit the wider community outside of the school/pre-school.</w:t>
      </w:r>
    </w:p>
    <w:p w14:paraId="6A03456C" w14:textId="77777777" w:rsidR="00291DAE" w:rsidRPr="00136E03" w:rsidRDefault="00291DAE" w:rsidP="00291DAE">
      <w:pPr>
        <w:spacing w:after="60" w:line="259" w:lineRule="auto"/>
        <w:rPr>
          <w:sz w:val="12"/>
          <w:szCs w:val="12"/>
        </w:rPr>
      </w:pPr>
    </w:p>
    <w:p w14:paraId="1A8B36B3" w14:textId="77777777" w:rsidR="00291DAE" w:rsidRDefault="00291DAE" w:rsidP="00291DAE">
      <w:pPr>
        <w:spacing w:after="35" w:line="255" w:lineRule="auto"/>
        <w:ind w:right="135"/>
      </w:pPr>
      <w:r>
        <w:t>We are unable to fund applications from:</w:t>
      </w:r>
    </w:p>
    <w:p w14:paraId="69BE2B2B" w14:textId="77777777" w:rsidR="00291DAE" w:rsidRDefault="00291DAE" w:rsidP="00291DAE">
      <w:pPr>
        <w:numPr>
          <w:ilvl w:val="0"/>
          <w:numId w:val="10"/>
        </w:numPr>
        <w:spacing w:after="31" w:line="270" w:lineRule="auto"/>
        <w:ind w:left="567" w:right="572" w:hanging="141"/>
      </w:pPr>
      <w:r>
        <w:t>Commercial organisations</w:t>
      </w:r>
    </w:p>
    <w:p w14:paraId="3F8B0F07" w14:textId="77777777" w:rsidR="00291DAE" w:rsidRDefault="00291DAE" w:rsidP="00291DAE">
      <w:pPr>
        <w:numPr>
          <w:ilvl w:val="0"/>
          <w:numId w:val="10"/>
        </w:numPr>
        <w:spacing w:after="31" w:line="270" w:lineRule="auto"/>
        <w:ind w:left="567" w:right="572" w:hanging="141"/>
      </w:pPr>
      <w:r>
        <w:t xml:space="preserve">Community Interest Companies limited by </w:t>
      </w:r>
      <w:proofErr w:type="gramStart"/>
      <w:r>
        <w:t>shares</w:t>
      </w:r>
      <w:proofErr w:type="gramEnd"/>
      <w:r>
        <w:t xml:space="preserve">    </w:t>
      </w:r>
    </w:p>
    <w:p w14:paraId="36B1B071" w14:textId="77777777" w:rsidR="00291DAE" w:rsidRDefault="00291DAE" w:rsidP="00291DAE">
      <w:pPr>
        <w:numPr>
          <w:ilvl w:val="0"/>
          <w:numId w:val="10"/>
        </w:numPr>
        <w:spacing w:after="0" w:line="254" w:lineRule="auto"/>
        <w:ind w:left="567" w:right="573" w:hanging="142"/>
      </w:pPr>
      <w:r>
        <w:t>Individuals</w:t>
      </w:r>
    </w:p>
    <w:p w14:paraId="65E4B41E" w14:textId="40E0A670" w:rsidR="00291DAE" w:rsidRDefault="00291DAE" w:rsidP="00943B4A">
      <w:pPr>
        <w:numPr>
          <w:ilvl w:val="0"/>
          <w:numId w:val="10"/>
        </w:numPr>
        <w:spacing w:after="263" w:line="255" w:lineRule="auto"/>
        <w:ind w:left="567" w:right="572" w:hanging="141"/>
      </w:pPr>
      <w:r>
        <w:t xml:space="preserve">Organisations whose main objective is to raise funds for other charitable </w:t>
      </w:r>
      <w:proofErr w:type="gramStart"/>
      <w:r>
        <w:t>organisations</w:t>
      </w:r>
      <w:proofErr w:type="gramEnd"/>
      <w:r>
        <w:t xml:space="preserve">  </w:t>
      </w:r>
    </w:p>
    <w:p w14:paraId="46473963" w14:textId="77777777" w:rsidR="00291DAE" w:rsidRDefault="00291DAE" w:rsidP="00291DAE">
      <w:pPr>
        <w:spacing w:after="263" w:line="255" w:lineRule="auto"/>
        <w:ind w:left="567" w:right="572" w:firstLine="0"/>
      </w:pPr>
    </w:p>
    <w:p w14:paraId="019BE8CE" w14:textId="77777777" w:rsidR="00943B4A" w:rsidRDefault="00943B4A" w:rsidP="00291DAE">
      <w:pPr>
        <w:spacing w:after="263" w:line="255" w:lineRule="auto"/>
        <w:ind w:left="567" w:right="572" w:firstLine="0"/>
      </w:pPr>
    </w:p>
    <w:p w14:paraId="6419A576" w14:textId="77777777" w:rsidR="00943B4A" w:rsidRDefault="00943B4A" w:rsidP="00291DAE">
      <w:pPr>
        <w:spacing w:after="263" w:line="255" w:lineRule="auto"/>
        <w:ind w:left="567" w:right="572" w:firstLine="0"/>
      </w:pPr>
    </w:p>
    <w:p w14:paraId="2C2CB328" w14:textId="3087D435" w:rsidR="00E8417F" w:rsidRDefault="00D35D2A" w:rsidP="00291DAE">
      <w:pPr>
        <w:spacing w:after="263" w:line="255" w:lineRule="auto"/>
        <w:ind w:right="572"/>
      </w:pPr>
      <w:r w:rsidRPr="00291DAE">
        <w:rPr>
          <w:b/>
        </w:rPr>
        <w:lastRenderedPageBreak/>
        <w:t>What can I apply for?</w:t>
      </w:r>
      <w:r>
        <w:t xml:space="preserve">  </w:t>
      </w:r>
    </w:p>
    <w:p w14:paraId="64E13AC5" w14:textId="494ED92F" w:rsidR="00291DAE" w:rsidRPr="00291DAE" w:rsidRDefault="00D35D2A" w:rsidP="00291DAE">
      <w:pPr>
        <w:tabs>
          <w:tab w:val="left" w:pos="1335"/>
        </w:tabs>
        <w:spacing w:after="7" w:line="259" w:lineRule="auto"/>
        <w:ind w:firstLine="0"/>
      </w:pPr>
      <w:r>
        <w:t>Grant applications should be between £</w:t>
      </w:r>
      <w:r>
        <w:rPr>
          <w:b/>
        </w:rPr>
        <w:t>1,000 and £5,000</w:t>
      </w:r>
      <w:r>
        <w:t xml:space="preserve"> and must be for a </w:t>
      </w:r>
      <w:r>
        <w:rPr>
          <w:b/>
        </w:rPr>
        <w:t>time limited project</w:t>
      </w:r>
      <w:r w:rsidR="00291DAE">
        <w:rPr>
          <w:b/>
        </w:rPr>
        <w:t xml:space="preserve"> </w:t>
      </w:r>
      <w:r w:rsidR="00291DAE">
        <w:t>that</w:t>
      </w:r>
      <w:r w:rsidR="00291DAE" w:rsidRPr="002D36CF">
        <w:t xml:space="preserve"> help</w:t>
      </w:r>
      <w:r w:rsidR="00291DAE">
        <w:t>s</w:t>
      </w:r>
      <w:r w:rsidR="00291DAE" w:rsidRPr="002D36CF">
        <w:t xml:space="preserve"> you to achieve at least one of our priority outcomes</w:t>
      </w:r>
      <w:r w:rsidR="00291DAE">
        <w:t xml:space="preserve"> outlined below</w:t>
      </w:r>
      <w:r w:rsidR="00291DAE" w:rsidRPr="002D36CF">
        <w:t>.</w:t>
      </w:r>
      <w:r w:rsidR="00291DAE">
        <w:t xml:space="preserve">    </w:t>
      </w:r>
    </w:p>
    <w:p w14:paraId="3A4E526A" w14:textId="77777777" w:rsidR="00291DAE" w:rsidRDefault="00291DAE" w:rsidP="00291DAE">
      <w:pPr>
        <w:numPr>
          <w:ilvl w:val="0"/>
          <w:numId w:val="13"/>
        </w:numPr>
        <w:spacing w:after="31" w:line="270" w:lineRule="auto"/>
        <w:ind w:right="572" w:hanging="360"/>
      </w:pPr>
      <w:r>
        <w:t xml:space="preserve">Dealing with peoples and communities’ needs.      </w:t>
      </w:r>
    </w:p>
    <w:p w14:paraId="69BC7FE7" w14:textId="77777777" w:rsidR="00291DAE" w:rsidRDefault="00291DAE" w:rsidP="00F60DA5">
      <w:pPr>
        <w:numPr>
          <w:ilvl w:val="1"/>
          <w:numId w:val="17"/>
        </w:numPr>
        <w:spacing w:after="31" w:line="270" w:lineRule="auto"/>
        <w:ind w:left="1134" w:right="572"/>
      </w:pPr>
      <w:r>
        <w:t>Isolation</w:t>
      </w:r>
      <w:r>
        <w:rPr>
          <w:b/>
        </w:rPr>
        <w:t xml:space="preserve"> </w:t>
      </w:r>
      <w:r>
        <w:t xml:space="preserve">     </w:t>
      </w:r>
    </w:p>
    <w:p w14:paraId="7F83A11F" w14:textId="77777777" w:rsidR="00291DAE" w:rsidRDefault="00291DAE" w:rsidP="00F60DA5">
      <w:pPr>
        <w:numPr>
          <w:ilvl w:val="1"/>
          <w:numId w:val="17"/>
        </w:numPr>
        <w:spacing w:after="31" w:line="270" w:lineRule="auto"/>
        <w:ind w:left="1134" w:right="572"/>
      </w:pPr>
      <w:r>
        <w:t>Low Income</w:t>
      </w:r>
      <w:r>
        <w:rPr>
          <w:b/>
        </w:rPr>
        <w:t xml:space="preserve"> </w:t>
      </w:r>
      <w:r>
        <w:t xml:space="preserve">     </w:t>
      </w:r>
    </w:p>
    <w:p w14:paraId="77C92B27" w14:textId="77777777" w:rsidR="00291DAE" w:rsidRDefault="00291DAE" w:rsidP="00F60DA5">
      <w:pPr>
        <w:numPr>
          <w:ilvl w:val="1"/>
          <w:numId w:val="17"/>
        </w:numPr>
        <w:spacing w:after="31" w:line="270" w:lineRule="auto"/>
        <w:ind w:left="1134" w:right="572"/>
      </w:pPr>
      <w:r>
        <w:t>Homelessness</w:t>
      </w:r>
      <w:r>
        <w:rPr>
          <w:b/>
        </w:rPr>
        <w:t xml:space="preserve"> </w:t>
      </w:r>
      <w:r>
        <w:t xml:space="preserve">     </w:t>
      </w:r>
    </w:p>
    <w:p w14:paraId="5BB32512" w14:textId="77777777" w:rsidR="00F60DA5" w:rsidRDefault="00291DAE" w:rsidP="00F60DA5">
      <w:pPr>
        <w:numPr>
          <w:ilvl w:val="1"/>
          <w:numId w:val="17"/>
        </w:numPr>
        <w:spacing w:after="31" w:line="270" w:lineRule="auto"/>
        <w:ind w:left="1134" w:right="572"/>
      </w:pPr>
      <w:r>
        <w:t xml:space="preserve">Mental Health </w:t>
      </w:r>
      <w:r>
        <w:rPr>
          <w:b/>
        </w:rPr>
        <w:t xml:space="preserve"> </w:t>
      </w:r>
      <w:r>
        <w:t xml:space="preserve">     </w:t>
      </w:r>
    </w:p>
    <w:p w14:paraId="62E65291" w14:textId="25161868" w:rsidR="00291DAE" w:rsidRDefault="00291DAE" w:rsidP="00F60DA5">
      <w:pPr>
        <w:numPr>
          <w:ilvl w:val="1"/>
          <w:numId w:val="17"/>
        </w:numPr>
        <w:spacing w:after="31" w:line="270" w:lineRule="auto"/>
        <w:ind w:left="1134" w:right="572"/>
      </w:pPr>
      <w:r>
        <w:t>Physical inactivity</w:t>
      </w:r>
      <w:r w:rsidRPr="00F60DA5">
        <w:rPr>
          <w:b/>
        </w:rPr>
        <w:t xml:space="preserve"> </w:t>
      </w:r>
      <w:r>
        <w:t xml:space="preserve">     </w:t>
      </w:r>
    </w:p>
    <w:p w14:paraId="624C23C8" w14:textId="577B885C" w:rsidR="00291DAE" w:rsidRDefault="00291DAE" w:rsidP="00291DAE">
      <w:pPr>
        <w:spacing w:after="34" w:line="259" w:lineRule="auto"/>
        <w:ind w:left="764" w:firstLine="0"/>
      </w:pPr>
      <w:r>
        <w:rPr>
          <w:b/>
        </w:rPr>
        <w:t xml:space="preserve"> </w:t>
      </w:r>
      <w:r>
        <w:t xml:space="preserve">     </w:t>
      </w:r>
    </w:p>
    <w:p w14:paraId="1E059257" w14:textId="77777777" w:rsidR="00291DAE" w:rsidRDefault="00291DAE" w:rsidP="00291DAE">
      <w:pPr>
        <w:numPr>
          <w:ilvl w:val="0"/>
          <w:numId w:val="13"/>
        </w:numPr>
        <w:spacing w:after="31" w:line="270" w:lineRule="auto"/>
        <w:ind w:right="572" w:hanging="360"/>
      </w:pPr>
      <w:r>
        <w:t xml:space="preserve">Striving for positive change.      </w:t>
      </w:r>
    </w:p>
    <w:p w14:paraId="56CBCF8C" w14:textId="77777777" w:rsidR="00291DAE" w:rsidRDefault="00291DAE" w:rsidP="00F60DA5">
      <w:pPr>
        <w:numPr>
          <w:ilvl w:val="1"/>
          <w:numId w:val="17"/>
        </w:numPr>
        <w:spacing w:after="31" w:line="270" w:lineRule="auto"/>
        <w:ind w:left="1134" w:right="572"/>
      </w:pPr>
      <w:r>
        <w:t xml:space="preserve">Digital application, </w:t>
      </w:r>
      <w:proofErr w:type="gramStart"/>
      <w:r>
        <w:t>services</w:t>
      </w:r>
      <w:proofErr w:type="gramEnd"/>
      <w:r>
        <w:t xml:space="preserve"> and products</w:t>
      </w:r>
      <w:r w:rsidRPr="00F60DA5">
        <w:t xml:space="preserve"> </w:t>
      </w:r>
      <w:r>
        <w:t xml:space="preserve">     </w:t>
      </w:r>
    </w:p>
    <w:p w14:paraId="63E613AF" w14:textId="77777777" w:rsidR="00291DAE" w:rsidRDefault="00291DAE" w:rsidP="00F60DA5">
      <w:pPr>
        <w:numPr>
          <w:ilvl w:val="1"/>
          <w:numId w:val="17"/>
        </w:numPr>
        <w:spacing w:after="31" w:line="270" w:lineRule="auto"/>
        <w:ind w:left="1134" w:right="572"/>
      </w:pPr>
      <w:r>
        <w:t>Sustainability, environmental quality, green technologies</w:t>
      </w:r>
      <w:r w:rsidRPr="00F60DA5">
        <w:t xml:space="preserve"> </w:t>
      </w:r>
      <w:r>
        <w:t xml:space="preserve">     </w:t>
      </w:r>
    </w:p>
    <w:p w14:paraId="2DA70370" w14:textId="77777777" w:rsidR="00F60DA5" w:rsidRPr="00F60DA5" w:rsidRDefault="00291DAE" w:rsidP="00F60DA5">
      <w:pPr>
        <w:numPr>
          <w:ilvl w:val="1"/>
          <w:numId w:val="17"/>
        </w:numPr>
        <w:spacing w:after="31" w:line="270" w:lineRule="auto"/>
        <w:ind w:left="1134" w:right="572"/>
      </w:pPr>
      <w:r>
        <w:t>Creative and innovative</w:t>
      </w:r>
    </w:p>
    <w:p w14:paraId="5F6BEC05" w14:textId="2A377C44" w:rsidR="00D35D2A" w:rsidRPr="00F60DA5" w:rsidRDefault="00291DAE" w:rsidP="00F60DA5">
      <w:pPr>
        <w:numPr>
          <w:ilvl w:val="1"/>
          <w:numId w:val="17"/>
        </w:numPr>
        <w:spacing w:after="31" w:line="270" w:lineRule="auto"/>
        <w:ind w:left="1134" w:right="572"/>
      </w:pPr>
      <w:r>
        <w:t>Business growth</w:t>
      </w:r>
      <w:r w:rsidRPr="00291DAE">
        <w:t xml:space="preserve"> </w:t>
      </w:r>
      <w:r>
        <w:t xml:space="preserve">     </w:t>
      </w:r>
    </w:p>
    <w:p w14:paraId="750A41CF" w14:textId="77777777" w:rsidR="00E8417F" w:rsidRDefault="00D35D2A">
      <w:pPr>
        <w:spacing w:after="0" w:line="259" w:lineRule="auto"/>
        <w:ind w:left="67" w:firstLine="0"/>
      </w:pPr>
      <w:r>
        <w:t xml:space="preserve">  </w:t>
      </w:r>
    </w:p>
    <w:p w14:paraId="258B8A94" w14:textId="77777777" w:rsidR="00E8417F" w:rsidRDefault="00D35D2A">
      <w:pPr>
        <w:spacing w:after="179"/>
        <w:ind w:left="63"/>
      </w:pPr>
      <w:r>
        <w:t xml:space="preserve">Examples of activities could include:  </w:t>
      </w:r>
    </w:p>
    <w:p w14:paraId="7550044A" w14:textId="77777777" w:rsidR="00E8417F" w:rsidRDefault="00D35D2A">
      <w:pPr>
        <w:numPr>
          <w:ilvl w:val="0"/>
          <w:numId w:val="5"/>
        </w:numPr>
        <w:ind w:hanging="427"/>
      </w:pPr>
      <w:r>
        <w:t xml:space="preserve">Funding to support the cost of running a new project or pilot </w:t>
      </w:r>
      <w:proofErr w:type="gramStart"/>
      <w:r>
        <w:t>project</w:t>
      </w:r>
      <w:proofErr w:type="gramEnd"/>
      <w:r>
        <w:t xml:space="preserve"> </w:t>
      </w:r>
    </w:p>
    <w:p w14:paraId="19C17163" w14:textId="77777777" w:rsidR="00E8417F" w:rsidRDefault="00D35D2A">
      <w:pPr>
        <w:numPr>
          <w:ilvl w:val="0"/>
          <w:numId w:val="5"/>
        </w:numPr>
        <w:spacing w:after="43"/>
        <w:ind w:hanging="427"/>
      </w:pPr>
      <w:r>
        <w:t xml:space="preserve">Funding to continue the delivery of an existing project – in this case you must give examples that demonstrate how you intend to develop your project and demonstrate how you will sustain your project financially in the future. Examples of project development could include:  </w:t>
      </w:r>
    </w:p>
    <w:p w14:paraId="2D27A906" w14:textId="77777777" w:rsidR="00E8417F" w:rsidRDefault="00D35D2A">
      <w:pPr>
        <w:numPr>
          <w:ilvl w:val="1"/>
          <w:numId w:val="5"/>
        </w:numPr>
        <w:spacing w:after="33"/>
        <w:ind w:hanging="427"/>
      </w:pPr>
      <w:r>
        <w:t xml:space="preserve">increasing the numbers of people you work with, or working with new participants (or both)  </w:t>
      </w:r>
    </w:p>
    <w:p w14:paraId="658C1EA6" w14:textId="77777777" w:rsidR="00E8417F" w:rsidRDefault="00D35D2A">
      <w:pPr>
        <w:numPr>
          <w:ilvl w:val="1"/>
          <w:numId w:val="5"/>
        </w:numPr>
        <w:spacing w:after="34"/>
        <w:ind w:hanging="427"/>
      </w:pPr>
      <w:r>
        <w:t xml:space="preserve">extending your activities by working with different communities, new groups or in new areas  </w:t>
      </w:r>
    </w:p>
    <w:p w14:paraId="36F7E37E" w14:textId="77777777" w:rsidR="009444A7" w:rsidRDefault="00D35D2A">
      <w:pPr>
        <w:numPr>
          <w:ilvl w:val="1"/>
          <w:numId w:val="5"/>
        </w:numPr>
        <w:ind w:hanging="427"/>
      </w:pPr>
      <w:r>
        <w:t xml:space="preserve">working with new partners  </w:t>
      </w:r>
    </w:p>
    <w:p w14:paraId="4B80AD7B" w14:textId="0AD3670B" w:rsidR="00E8417F" w:rsidRDefault="00D35D2A">
      <w:pPr>
        <w:numPr>
          <w:ilvl w:val="1"/>
          <w:numId w:val="5"/>
        </w:numPr>
        <w:ind w:hanging="427"/>
      </w:pPr>
      <w:r>
        <w:t xml:space="preserve">delivering activities or services in a different way such as on-line.  </w:t>
      </w:r>
    </w:p>
    <w:p w14:paraId="228C2618" w14:textId="77777777" w:rsidR="00E8417F" w:rsidRDefault="00D35D2A">
      <w:pPr>
        <w:numPr>
          <w:ilvl w:val="0"/>
          <w:numId w:val="5"/>
        </w:numPr>
        <w:ind w:hanging="427"/>
      </w:pPr>
      <w:r>
        <w:t xml:space="preserve">Funding to help organisations build their volunteer networks e.g. publicity, training costs, admin to support volunteer recruitment.  </w:t>
      </w:r>
    </w:p>
    <w:p w14:paraId="0B728E31" w14:textId="77777777" w:rsidR="00F60DA5" w:rsidRDefault="00D35D2A" w:rsidP="00F60DA5">
      <w:pPr>
        <w:numPr>
          <w:ilvl w:val="0"/>
          <w:numId w:val="5"/>
        </w:numPr>
        <w:spacing w:after="164"/>
        <w:ind w:hanging="427"/>
      </w:pPr>
      <w:r>
        <w:t>Contributions to a large-scale project will only be considered if this grant would complete your fundraising target.</w:t>
      </w:r>
    </w:p>
    <w:p w14:paraId="2FBBAFBD" w14:textId="77777777" w:rsidR="00E8417F" w:rsidRDefault="00D35D2A">
      <w:pPr>
        <w:spacing w:after="184"/>
        <w:ind w:left="63"/>
      </w:pPr>
      <w:r>
        <w:lastRenderedPageBreak/>
        <w:t xml:space="preserve">Examples of the types of costs that will be considered include (list is not exhaustive):  </w:t>
      </w:r>
    </w:p>
    <w:p w14:paraId="4E51A859"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Purchase of equipment or materials.  </w:t>
      </w:r>
    </w:p>
    <w:p w14:paraId="2DB42B23"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Costs that enable an activity or event to take place (e.g. venue hire, equipment rental, publicity costs).  </w:t>
      </w:r>
    </w:p>
    <w:p w14:paraId="73E79828"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Staffing costs will only be considered if these are additional time limited costs incurred as a direct result of delivering your project. We can’t support salaries for existing staff usually covered by other income.  </w:t>
      </w:r>
    </w:p>
    <w:p w14:paraId="16C52A73"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Applications that consist only of staffing costs will not be considered.  </w:t>
      </w:r>
    </w:p>
    <w:p w14:paraId="24FA3141" w14:textId="77777777" w:rsidR="00E8417F" w:rsidRDefault="00D35D2A">
      <w:pPr>
        <w:spacing w:after="0" w:line="259" w:lineRule="auto"/>
        <w:ind w:left="787" w:firstLine="0"/>
      </w:pPr>
      <w:r>
        <w:t xml:space="preserve">  </w:t>
      </w:r>
    </w:p>
    <w:p w14:paraId="2D405C49" w14:textId="0AD167F6" w:rsidR="00E8417F" w:rsidRDefault="00D35D2A">
      <w:pPr>
        <w:spacing w:after="198" w:line="255" w:lineRule="auto"/>
      </w:pPr>
      <w:r>
        <w:rPr>
          <w:b/>
        </w:rPr>
        <w:t>We are unable to fund:</w:t>
      </w:r>
      <w:r>
        <w:t xml:space="preserve">  </w:t>
      </w:r>
    </w:p>
    <w:p w14:paraId="192135E9"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Local or national appeals.  </w:t>
      </w:r>
    </w:p>
    <w:p w14:paraId="2A1DF9DF"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Student expeditions.   </w:t>
      </w:r>
    </w:p>
    <w:p w14:paraId="5B07ABC3" w14:textId="77777777" w:rsidR="00E8417F" w:rsidRPr="00F60DA5" w:rsidRDefault="00D35D2A" w:rsidP="00F60DA5">
      <w:pPr>
        <w:numPr>
          <w:ilvl w:val="0"/>
          <w:numId w:val="5"/>
        </w:numPr>
        <w:spacing w:after="26" w:line="279" w:lineRule="auto"/>
        <w:ind w:left="396" w:hanging="360"/>
        <w:rPr>
          <w:szCs w:val="24"/>
        </w:rPr>
      </w:pPr>
      <w:r w:rsidRPr="00F60DA5">
        <w:rPr>
          <w:szCs w:val="24"/>
        </w:rPr>
        <w:t>Play areas (</w:t>
      </w:r>
      <w:proofErr w:type="spellStart"/>
      <w:r w:rsidRPr="00F60DA5">
        <w:rPr>
          <w:szCs w:val="24"/>
        </w:rPr>
        <w:t>eg.</w:t>
      </w:r>
      <w:proofErr w:type="spellEnd"/>
      <w:r w:rsidRPr="00F60DA5">
        <w:rPr>
          <w:szCs w:val="24"/>
        </w:rPr>
        <w:t xml:space="preserve"> large equipment for public playgrounds).  </w:t>
      </w:r>
    </w:p>
    <w:p w14:paraId="15CB8C92" w14:textId="77777777" w:rsidR="00291DAE" w:rsidRPr="00F60DA5" w:rsidRDefault="00291DAE" w:rsidP="00F60DA5">
      <w:pPr>
        <w:numPr>
          <w:ilvl w:val="0"/>
          <w:numId w:val="5"/>
        </w:numPr>
        <w:spacing w:after="26" w:line="279" w:lineRule="auto"/>
        <w:ind w:left="396" w:hanging="360"/>
        <w:rPr>
          <w:szCs w:val="24"/>
        </w:rPr>
      </w:pPr>
      <w:r w:rsidRPr="0011210B">
        <w:rPr>
          <w:szCs w:val="24"/>
        </w:rPr>
        <w:t xml:space="preserve">Activities which are of a political or religious nature, or organisations supporting political activism (we can fund religious organisations if their </w:t>
      </w:r>
      <w:r w:rsidRPr="00F60DA5">
        <w:rPr>
          <w:szCs w:val="24"/>
        </w:rPr>
        <w:t xml:space="preserve">project benefits the wider community and doesn’t include religious content).  </w:t>
      </w:r>
    </w:p>
    <w:p w14:paraId="1A122748" w14:textId="77777777" w:rsidR="00291DAE" w:rsidRPr="00F60DA5" w:rsidRDefault="00291DAE" w:rsidP="00F60DA5">
      <w:pPr>
        <w:numPr>
          <w:ilvl w:val="0"/>
          <w:numId w:val="5"/>
        </w:numPr>
        <w:spacing w:after="26" w:line="279" w:lineRule="auto"/>
        <w:ind w:left="396" w:hanging="360"/>
        <w:rPr>
          <w:szCs w:val="24"/>
        </w:rPr>
      </w:pPr>
      <w:r w:rsidRPr="00F60DA5">
        <w:rPr>
          <w:szCs w:val="24"/>
        </w:rPr>
        <w:t xml:space="preserve">School or preschool projects unless there is wider community </w:t>
      </w:r>
      <w:proofErr w:type="gramStart"/>
      <w:r w:rsidRPr="00F60DA5">
        <w:rPr>
          <w:szCs w:val="24"/>
        </w:rPr>
        <w:t>benefit</w:t>
      </w:r>
      <w:proofErr w:type="gramEnd"/>
      <w:r w:rsidRPr="00F60DA5">
        <w:rPr>
          <w:szCs w:val="24"/>
        </w:rPr>
        <w:t xml:space="preserve"> </w:t>
      </w:r>
    </w:p>
    <w:p w14:paraId="730BA797" w14:textId="1B7DCA2D" w:rsidR="00E8417F" w:rsidRPr="00F60DA5" w:rsidRDefault="00D35D2A" w:rsidP="00F60DA5">
      <w:pPr>
        <w:numPr>
          <w:ilvl w:val="0"/>
          <w:numId w:val="5"/>
        </w:numPr>
        <w:spacing w:after="26" w:line="279" w:lineRule="auto"/>
        <w:ind w:left="396" w:hanging="360"/>
        <w:rPr>
          <w:szCs w:val="24"/>
        </w:rPr>
      </w:pPr>
      <w:r w:rsidRPr="00F60DA5">
        <w:rPr>
          <w:szCs w:val="24"/>
        </w:rPr>
        <w:t xml:space="preserve">Replacement or ˝like for like˝ equipment/items.  </w:t>
      </w:r>
    </w:p>
    <w:p w14:paraId="478B964E" w14:textId="13D58487" w:rsidR="00E8417F" w:rsidRPr="00F60DA5" w:rsidRDefault="00291DAE" w:rsidP="00F60DA5">
      <w:pPr>
        <w:numPr>
          <w:ilvl w:val="0"/>
          <w:numId w:val="5"/>
        </w:numPr>
        <w:spacing w:after="26" w:line="279" w:lineRule="auto"/>
        <w:ind w:left="396" w:hanging="360"/>
        <w:rPr>
          <w:szCs w:val="24"/>
        </w:rPr>
      </w:pPr>
      <w:r w:rsidRPr="00F60DA5">
        <w:rPr>
          <w:szCs w:val="24"/>
        </w:rPr>
        <w:t>P</w:t>
      </w:r>
      <w:r w:rsidR="00D35D2A" w:rsidRPr="00F60DA5">
        <w:rPr>
          <w:szCs w:val="24"/>
        </w:rPr>
        <w:t xml:space="preserve">roject activities of a statutory nature.  </w:t>
      </w:r>
    </w:p>
    <w:p w14:paraId="5111F96A"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Retrospective funding of activities/projects.  </w:t>
      </w:r>
    </w:p>
    <w:p w14:paraId="399A317F"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General running costs of an organisation.  </w:t>
      </w:r>
    </w:p>
    <w:p w14:paraId="78C30467" w14:textId="77777777" w:rsidR="00291DAE" w:rsidRPr="00F60DA5" w:rsidRDefault="00291DAE" w:rsidP="00F60DA5">
      <w:pPr>
        <w:numPr>
          <w:ilvl w:val="0"/>
          <w:numId w:val="5"/>
        </w:numPr>
        <w:spacing w:after="26" w:line="279" w:lineRule="auto"/>
        <w:ind w:left="396" w:hanging="360"/>
        <w:rPr>
          <w:szCs w:val="24"/>
        </w:rPr>
      </w:pPr>
      <w:r w:rsidRPr="00F60DA5">
        <w:rPr>
          <w:szCs w:val="24"/>
        </w:rPr>
        <w:t xml:space="preserve">Fundraising events/activities for your organisation or others </w:t>
      </w:r>
    </w:p>
    <w:p w14:paraId="6C8CE5E7" w14:textId="77777777" w:rsidR="00291DAE" w:rsidRPr="00F60DA5" w:rsidRDefault="00291DAE" w:rsidP="00F60DA5">
      <w:pPr>
        <w:numPr>
          <w:ilvl w:val="0"/>
          <w:numId w:val="5"/>
        </w:numPr>
        <w:spacing w:after="26" w:line="279" w:lineRule="auto"/>
        <w:ind w:left="396" w:hanging="360"/>
        <w:rPr>
          <w:szCs w:val="24"/>
        </w:rPr>
      </w:pPr>
      <w:r w:rsidRPr="00F60DA5">
        <w:rPr>
          <w:szCs w:val="24"/>
        </w:rPr>
        <w:t xml:space="preserve">Activities/events that make a profit and have no financial need for our </w:t>
      </w:r>
      <w:proofErr w:type="gramStart"/>
      <w:r w:rsidRPr="00F60DA5">
        <w:rPr>
          <w:szCs w:val="24"/>
        </w:rPr>
        <w:t>grant</w:t>
      </w:r>
      <w:proofErr w:type="gramEnd"/>
      <w:r w:rsidRPr="00F60DA5">
        <w:rPr>
          <w:szCs w:val="24"/>
        </w:rPr>
        <w:t xml:space="preserve">      </w:t>
      </w:r>
    </w:p>
    <w:p w14:paraId="5147D489" w14:textId="77777777" w:rsidR="00E8417F" w:rsidRPr="00F60DA5" w:rsidRDefault="00D35D2A" w:rsidP="00F60DA5">
      <w:pPr>
        <w:numPr>
          <w:ilvl w:val="0"/>
          <w:numId w:val="5"/>
        </w:numPr>
        <w:spacing w:after="26" w:line="279" w:lineRule="auto"/>
        <w:ind w:left="396" w:hanging="360"/>
        <w:rPr>
          <w:szCs w:val="24"/>
        </w:rPr>
      </w:pPr>
      <w:r w:rsidRPr="00F60DA5">
        <w:rPr>
          <w:szCs w:val="24"/>
        </w:rPr>
        <w:t xml:space="preserve">Websites </w:t>
      </w:r>
    </w:p>
    <w:p w14:paraId="7F450D39" w14:textId="77777777" w:rsidR="00F60DA5" w:rsidRPr="00F60DA5" w:rsidRDefault="00F60DA5" w:rsidP="00F60DA5">
      <w:pPr>
        <w:numPr>
          <w:ilvl w:val="0"/>
          <w:numId w:val="5"/>
        </w:numPr>
        <w:spacing w:after="26" w:line="279" w:lineRule="auto"/>
        <w:ind w:left="396" w:hanging="360"/>
        <w:rPr>
          <w:szCs w:val="24"/>
        </w:rPr>
      </w:pPr>
      <w:r w:rsidRPr="00F60DA5">
        <w:rPr>
          <w:szCs w:val="24"/>
        </w:rPr>
        <w:t xml:space="preserve">Projects or activities that have received funding in previous years via this scheme or from other council </w:t>
      </w:r>
      <w:proofErr w:type="gramStart"/>
      <w:r w:rsidRPr="00F60DA5">
        <w:rPr>
          <w:szCs w:val="24"/>
        </w:rPr>
        <w:t>funds</w:t>
      </w:r>
      <w:proofErr w:type="gramEnd"/>
      <w:r w:rsidRPr="00F60DA5">
        <w:rPr>
          <w:szCs w:val="24"/>
        </w:rPr>
        <w:t xml:space="preserve">    </w:t>
      </w:r>
    </w:p>
    <w:p w14:paraId="17194E41" w14:textId="77777777" w:rsidR="00F60DA5" w:rsidRPr="00F60DA5" w:rsidRDefault="00F60DA5" w:rsidP="00F60DA5">
      <w:pPr>
        <w:numPr>
          <w:ilvl w:val="0"/>
          <w:numId w:val="5"/>
        </w:numPr>
        <w:spacing w:after="26" w:line="279" w:lineRule="auto"/>
        <w:ind w:left="396" w:hanging="360"/>
        <w:rPr>
          <w:szCs w:val="24"/>
        </w:rPr>
      </w:pPr>
      <w:r w:rsidRPr="00F60DA5">
        <w:rPr>
          <w:szCs w:val="24"/>
        </w:rPr>
        <w:t xml:space="preserve">Events or activities that charge an entrance fee or a fee to take part (unless these is a provision to include those who might otherwise be excluded due to affordability) </w:t>
      </w:r>
    </w:p>
    <w:p w14:paraId="40DBC18B" w14:textId="77777777" w:rsidR="00F60DA5" w:rsidRPr="00F60DA5" w:rsidRDefault="00F60DA5" w:rsidP="00F60DA5">
      <w:pPr>
        <w:numPr>
          <w:ilvl w:val="0"/>
          <w:numId w:val="5"/>
        </w:numPr>
        <w:spacing w:after="26" w:line="279" w:lineRule="auto"/>
        <w:ind w:left="396" w:hanging="360"/>
        <w:rPr>
          <w:szCs w:val="24"/>
        </w:rPr>
      </w:pPr>
      <w:r w:rsidRPr="00F60DA5">
        <w:rPr>
          <w:szCs w:val="24"/>
        </w:rPr>
        <w:t xml:space="preserve">Professional fees and licenses including feasibility studies, planning fees, permits and event licenses. </w:t>
      </w:r>
    </w:p>
    <w:p w14:paraId="499CD899" w14:textId="77777777" w:rsidR="00F60DA5" w:rsidRPr="00F60DA5" w:rsidRDefault="00F60DA5" w:rsidP="00F60DA5">
      <w:pPr>
        <w:numPr>
          <w:ilvl w:val="0"/>
          <w:numId w:val="5"/>
        </w:numPr>
        <w:spacing w:after="26" w:line="279" w:lineRule="auto"/>
        <w:ind w:left="396" w:hanging="360"/>
        <w:rPr>
          <w:szCs w:val="24"/>
        </w:rPr>
      </w:pPr>
      <w:r w:rsidRPr="00F60DA5">
        <w:rPr>
          <w:szCs w:val="24"/>
        </w:rPr>
        <w:t xml:space="preserve">VAT you can </w:t>
      </w:r>
      <w:proofErr w:type="gramStart"/>
      <w:r w:rsidRPr="00F60DA5">
        <w:rPr>
          <w:szCs w:val="24"/>
        </w:rPr>
        <w:t>reclaim</w:t>
      </w:r>
      <w:proofErr w:type="gramEnd"/>
    </w:p>
    <w:p w14:paraId="6DF5F5F7" w14:textId="2EE3A4DF" w:rsidR="00E8417F" w:rsidRDefault="00E8417F" w:rsidP="00F60DA5">
      <w:pPr>
        <w:ind w:left="772" w:firstLine="0"/>
      </w:pPr>
    </w:p>
    <w:p w14:paraId="0FE9F01B" w14:textId="34F66244" w:rsidR="00E8417F" w:rsidRDefault="00D35D2A" w:rsidP="00F60DA5">
      <w:pPr>
        <w:pStyle w:val="Heading1"/>
        <w:spacing w:after="165"/>
        <w:ind w:left="0" w:firstLine="0"/>
      </w:pPr>
      <w:r>
        <w:t>Application</w:t>
      </w:r>
      <w:r w:rsidR="00F60DA5">
        <w:t xml:space="preserve"> Process</w:t>
      </w:r>
      <w:r>
        <w:t xml:space="preserve"> </w:t>
      </w:r>
    </w:p>
    <w:p w14:paraId="1CACFA87" w14:textId="68AF3C58" w:rsidR="00E8417F" w:rsidRDefault="00D35D2A" w:rsidP="00F60DA5">
      <w:pPr>
        <w:spacing w:after="159"/>
        <w:ind w:left="0" w:firstLine="0"/>
      </w:pPr>
      <w:r>
        <w:t xml:space="preserve">This is a competitive fund and each application will be assessed against the grant eligibility and criteria, and scored using the Grant Scoring Matrix published </w:t>
      </w:r>
      <w:r w:rsidR="00F60DA5">
        <w:t xml:space="preserve">here and </w:t>
      </w:r>
      <w:r>
        <w:t xml:space="preserve">on the </w:t>
      </w:r>
      <w:hyperlink r:id="rId22">
        <w:r>
          <w:rPr>
            <w:color w:val="0000FF"/>
            <w:u w:val="single" w:color="0000FF"/>
          </w:rPr>
          <w:t>council’s website</w:t>
        </w:r>
      </w:hyperlink>
      <w:hyperlink r:id="rId23">
        <w:r>
          <w:t>.</w:t>
        </w:r>
      </w:hyperlink>
      <w:r>
        <w:t xml:space="preserve">  </w:t>
      </w:r>
    </w:p>
    <w:p w14:paraId="1F4E10ED" w14:textId="77777777" w:rsidR="00F60DA5" w:rsidRDefault="00F60DA5" w:rsidP="00F60DA5">
      <w:pPr>
        <w:ind w:left="5" w:right="572"/>
      </w:pPr>
      <w:r>
        <w:t xml:space="preserve">At the time the application is submitted, to enable the council to assess applications fully, all sections must be completed with all the information you wish considered together with all the documents requested.      </w:t>
      </w:r>
    </w:p>
    <w:p w14:paraId="10EC10DE" w14:textId="77777777" w:rsidR="00F60DA5" w:rsidRDefault="00F60DA5" w:rsidP="00F60DA5">
      <w:pPr>
        <w:spacing w:after="0" w:line="259" w:lineRule="auto"/>
        <w:ind w:left="43" w:firstLine="0"/>
      </w:pPr>
      <w:r>
        <w:t xml:space="preserve">      </w:t>
      </w:r>
    </w:p>
    <w:p w14:paraId="2D4D40D7" w14:textId="28BC812B" w:rsidR="00F60DA5" w:rsidRDefault="00F60DA5" w:rsidP="00F60DA5">
      <w:pPr>
        <w:ind w:left="9" w:right="135"/>
      </w:pPr>
      <w:r>
        <w:t xml:space="preserve">Applications should be made via the </w:t>
      </w:r>
      <w:proofErr w:type="spellStart"/>
      <w:r>
        <w:t>Flexigrant</w:t>
      </w:r>
      <w:proofErr w:type="spellEnd"/>
      <w:r>
        <w:t xml:space="preserve"> online system and submitted by the agreed deadline found on our website. </w:t>
      </w:r>
      <w:bookmarkStart w:id="1" w:name="_Hlk164761022"/>
      <w:r>
        <w:rPr>
          <w:b/>
        </w:rPr>
        <w:t xml:space="preserve">Follow this link to apply here now: </w:t>
      </w:r>
      <w:hyperlink r:id="rId24">
        <w:r>
          <w:t xml:space="preserve"> </w:t>
        </w:r>
      </w:hyperlink>
      <w:hyperlink r:id="rId25">
        <w:proofErr w:type="spellStart"/>
        <w:r>
          <w:rPr>
            <w:color w:val="0000FF"/>
            <w:u w:val="single" w:color="0000FF"/>
          </w:rPr>
          <w:t>Flexigran</w:t>
        </w:r>
      </w:hyperlink>
      <w:hyperlink r:id="rId26">
        <w:r>
          <w:rPr>
            <w:color w:val="0000FF"/>
            <w:u w:val="single" w:color="0000FF"/>
          </w:rPr>
          <w:t>t</w:t>
        </w:r>
        <w:proofErr w:type="spellEnd"/>
      </w:hyperlink>
      <w:r>
        <w:rPr>
          <w:color w:val="0000FF"/>
          <w:u w:val="single" w:color="0000FF"/>
        </w:rPr>
        <w:t>.</w:t>
      </w:r>
      <w:hyperlink r:id="rId27">
        <w:r>
          <w:rPr>
            <w:color w:val="0000FF"/>
          </w:rPr>
          <w:t xml:space="preserve"> </w:t>
        </w:r>
      </w:hyperlink>
      <w:hyperlink r:id="rId28">
        <w:r>
          <w:t xml:space="preserve"> </w:t>
        </w:r>
      </w:hyperlink>
      <w:r>
        <w:t xml:space="preserve"> </w:t>
      </w:r>
      <w:bookmarkEnd w:id="1"/>
    </w:p>
    <w:p w14:paraId="01294EB1" w14:textId="77777777" w:rsidR="00F60DA5" w:rsidRDefault="00F60DA5" w:rsidP="00F60DA5">
      <w:pPr>
        <w:ind w:left="9" w:right="135"/>
      </w:pPr>
    </w:p>
    <w:p w14:paraId="5B577000" w14:textId="07BD3866" w:rsidR="00F60DA5" w:rsidRDefault="00F60DA5" w:rsidP="00F60DA5">
      <w:pPr>
        <w:ind w:left="9" w:right="135"/>
      </w:pPr>
      <w:r>
        <w:t xml:space="preserve">If this is difficult for </w:t>
      </w:r>
      <w:proofErr w:type="gramStart"/>
      <w:r>
        <w:t>you</w:t>
      </w:r>
      <w:proofErr w:type="gramEnd"/>
      <w:r>
        <w:t xml:space="preserve"> we can find an alternative way for you to apply – please contact Jane Chuhan, Funding and Development Officer (</w:t>
      </w:r>
      <w:hyperlink r:id="rId29" w:history="1">
        <w:r w:rsidRPr="009520C9">
          <w:rPr>
            <w:rStyle w:val="Hyperlink"/>
          </w:rPr>
          <w:t>jchuhan@winchester.gov.uk</w:t>
        </w:r>
      </w:hyperlink>
      <w:r>
        <w:t xml:space="preserve">, 01962 848256). </w:t>
      </w:r>
    </w:p>
    <w:p w14:paraId="55B34CBB" w14:textId="77777777" w:rsidR="00F60DA5" w:rsidRDefault="00F60DA5" w:rsidP="00F60DA5">
      <w:pPr>
        <w:ind w:left="9" w:right="135"/>
      </w:pPr>
    </w:p>
    <w:p w14:paraId="3F911815" w14:textId="77777777" w:rsidR="00F60DA5" w:rsidRDefault="00F60DA5" w:rsidP="00F60DA5">
      <w:pPr>
        <w:ind w:left="9" w:right="135"/>
      </w:pPr>
      <w:r>
        <w:t xml:space="preserve">Funding decisions are delegated to Winchester City Council’s Funding Officer and Corporate Head of Economy and Community. The council’s decisions with regards to funding are discretionary and no appeals process is available.  </w:t>
      </w:r>
    </w:p>
    <w:p w14:paraId="3313C1CB" w14:textId="1209F167" w:rsidR="00E8417F" w:rsidRDefault="00E8417F">
      <w:pPr>
        <w:spacing w:after="161" w:line="259" w:lineRule="auto"/>
        <w:ind w:left="67" w:firstLine="0"/>
      </w:pPr>
    </w:p>
    <w:p w14:paraId="17FE5DCB" w14:textId="77777777" w:rsidR="00E8417F" w:rsidRDefault="00D35D2A">
      <w:pPr>
        <w:pStyle w:val="Heading1"/>
        <w:ind w:left="77"/>
      </w:pPr>
      <w:r>
        <w:t xml:space="preserve">Eligibility Criteria  </w:t>
      </w:r>
    </w:p>
    <w:p w14:paraId="1460EE72" w14:textId="77777777" w:rsidR="00E8417F" w:rsidRDefault="00D35D2A">
      <w:pPr>
        <w:ind w:left="63"/>
      </w:pPr>
      <w:proofErr w:type="gramStart"/>
      <w:r>
        <w:t>In order to</w:t>
      </w:r>
      <w:proofErr w:type="gramEnd"/>
      <w:r>
        <w:t xml:space="preserve"> be eligible for consideration, applicants must comply with </w:t>
      </w:r>
      <w:r>
        <w:rPr>
          <w:u w:val="single" w:color="000000"/>
        </w:rPr>
        <w:t>all</w:t>
      </w:r>
      <w:r>
        <w:t xml:space="preserve"> of the following criteria:   </w:t>
      </w:r>
    </w:p>
    <w:p w14:paraId="65A839A5" w14:textId="77777777" w:rsidR="00E8417F" w:rsidRDefault="00D35D2A">
      <w:pPr>
        <w:spacing w:after="0" w:line="259" w:lineRule="auto"/>
        <w:ind w:left="67" w:firstLine="0"/>
      </w:pPr>
      <w:r>
        <w:t xml:space="preserve">  </w:t>
      </w:r>
    </w:p>
    <w:p w14:paraId="01B84B8F" w14:textId="77777777" w:rsidR="00E8417F" w:rsidRDefault="00D35D2A">
      <w:pPr>
        <w:numPr>
          <w:ilvl w:val="0"/>
          <w:numId w:val="6"/>
        </w:numPr>
      </w:pPr>
      <w:r>
        <w:t xml:space="preserve">Organisations applying for funding must be able to support one or more of our funding themes.   </w:t>
      </w:r>
    </w:p>
    <w:p w14:paraId="16374D8C" w14:textId="77777777" w:rsidR="00E8417F" w:rsidRDefault="00D35D2A">
      <w:pPr>
        <w:spacing w:after="0" w:line="259" w:lineRule="auto"/>
        <w:ind w:left="67" w:firstLine="0"/>
      </w:pPr>
      <w:r>
        <w:t xml:space="preserve">  </w:t>
      </w:r>
    </w:p>
    <w:p w14:paraId="62A6A7DC" w14:textId="77777777" w:rsidR="00E8417F" w:rsidRDefault="00D35D2A">
      <w:pPr>
        <w:numPr>
          <w:ilvl w:val="0"/>
          <w:numId w:val="6"/>
        </w:numPr>
      </w:pPr>
      <w:r>
        <w:t xml:space="preserve">Organisations/groups applying for a grant must have a current bank account in the name of the organisation/group. Winchester City Council will not make grant payments to individuals, even if they are an official of the organisation.   </w:t>
      </w:r>
    </w:p>
    <w:p w14:paraId="2E829603" w14:textId="77777777" w:rsidR="00E8417F" w:rsidRDefault="00D35D2A">
      <w:pPr>
        <w:spacing w:after="0" w:line="259" w:lineRule="auto"/>
        <w:ind w:left="67" w:firstLine="0"/>
      </w:pPr>
      <w:r>
        <w:t xml:space="preserve">  </w:t>
      </w:r>
    </w:p>
    <w:p w14:paraId="62C1CAED" w14:textId="77777777" w:rsidR="00E8417F" w:rsidRDefault="00D35D2A">
      <w:pPr>
        <w:numPr>
          <w:ilvl w:val="0"/>
          <w:numId w:val="6"/>
        </w:numPr>
      </w:pPr>
      <w:r>
        <w:t xml:space="preserve">Activities which have already received funding through this grant scheme will not be eligible for further funding for the same activity in subsequent years. Records are kept of all previous applications and awards.   </w:t>
      </w:r>
    </w:p>
    <w:p w14:paraId="3F92DE22" w14:textId="77777777" w:rsidR="00E8417F" w:rsidRDefault="00D35D2A">
      <w:pPr>
        <w:spacing w:after="0" w:line="259" w:lineRule="auto"/>
        <w:ind w:left="67" w:firstLine="0"/>
      </w:pPr>
      <w:r>
        <w:t xml:space="preserve">  </w:t>
      </w:r>
    </w:p>
    <w:p w14:paraId="006097BF" w14:textId="77777777" w:rsidR="00E8417F" w:rsidRDefault="00D35D2A">
      <w:pPr>
        <w:numPr>
          <w:ilvl w:val="0"/>
          <w:numId w:val="6"/>
        </w:numPr>
      </w:pPr>
      <w:r>
        <w:lastRenderedPageBreak/>
        <w:t xml:space="preserve">Only one grant from this funding scheme will be given to an organisation in any one financial year.   </w:t>
      </w:r>
    </w:p>
    <w:p w14:paraId="14AA2240" w14:textId="77777777" w:rsidR="00E8417F" w:rsidRDefault="00D35D2A">
      <w:pPr>
        <w:spacing w:after="0" w:line="259" w:lineRule="auto"/>
        <w:ind w:left="67" w:firstLine="0"/>
      </w:pPr>
      <w:r>
        <w:t xml:space="preserve">  </w:t>
      </w:r>
    </w:p>
    <w:p w14:paraId="5DF0BD01" w14:textId="77777777" w:rsidR="00E8417F" w:rsidRDefault="00D35D2A">
      <w:pPr>
        <w:numPr>
          <w:ilvl w:val="0"/>
          <w:numId w:val="6"/>
        </w:numPr>
      </w:pPr>
      <w:r>
        <w:t xml:space="preserve">Organisations working with children, young people or vulnerable adults must have a robust protection policy in place and ensure that all active staff and volunteers have undertaken a DBS check. If your organisation does not have the appropriate policies in place, support is available from Community First in the Winchester District </w:t>
      </w:r>
      <w:hyperlink r:id="rId30">
        <w:r>
          <w:rPr>
            <w:color w:val="0000FF"/>
            <w:u w:val="single" w:color="0000FF"/>
          </w:rPr>
          <w:t>Help for groups</w:t>
        </w:r>
      </w:hyperlink>
      <w:hyperlink r:id="rId31">
        <w:r>
          <w:rPr>
            <w:color w:val="0000FF"/>
            <w:u w:val="single" w:color="0000FF"/>
          </w:rPr>
          <w:t xml:space="preserve"> </w:t>
        </w:r>
      </w:hyperlink>
      <w:hyperlink r:id="rId32">
        <w:r>
          <w:rPr>
            <w:color w:val="0000FF"/>
            <w:u w:val="single" w:color="0000FF"/>
          </w:rPr>
          <w:t>-</w:t>
        </w:r>
      </w:hyperlink>
      <w:hyperlink r:id="rId33">
        <w:r>
          <w:rPr>
            <w:color w:val="0000FF"/>
            <w:u w:val="single" w:color="0000FF"/>
          </w:rPr>
          <w:t xml:space="preserve"> </w:t>
        </w:r>
      </w:hyperlink>
      <w:hyperlink r:id="rId34">
        <w:r>
          <w:rPr>
            <w:color w:val="0000FF"/>
            <w:u w:val="single" w:color="0000FF"/>
          </w:rPr>
          <w:t>Community First (cfirst.org.uk</w:t>
        </w:r>
      </w:hyperlink>
      <w:hyperlink r:id="rId35">
        <w:r>
          <w:rPr>
            <w:color w:val="0000FF"/>
            <w:u w:val="single" w:color="0000FF"/>
          </w:rPr>
          <w:t>)</w:t>
        </w:r>
      </w:hyperlink>
      <w:hyperlink r:id="rId36">
        <w:r>
          <w:rPr>
            <w:color w:val="0000FF"/>
          </w:rPr>
          <w:t xml:space="preserve"> </w:t>
        </w:r>
      </w:hyperlink>
      <w:hyperlink r:id="rId37">
        <w:r>
          <w:t xml:space="preserve"> </w:t>
        </w:r>
      </w:hyperlink>
    </w:p>
    <w:p w14:paraId="778FA9B4" w14:textId="77777777" w:rsidR="00E8417F" w:rsidRDefault="00D35D2A">
      <w:pPr>
        <w:spacing w:after="0" w:line="259" w:lineRule="auto"/>
        <w:ind w:left="67" w:firstLine="0"/>
      </w:pPr>
      <w:r>
        <w:t xml:space="preserve">  </w:t>
      </w:r>
    </w:p>
    <w:p w14:paraId="5D6E68B5" w14:textId="77777777" w:rsidR="00E8417F" w:rsidRDefault="00D35D2A">
      <w:pPr>
        <w:numPr>
          <w:ilvl w:val="0"/>
          <w:numId w:val="6"/>
        </w:numPr>
      </w:pPr>
      <w:r>
        <w:t xml:space="preserve">Organisations/groups must be able to demonstrate that they have an open access/equal opportunities approach towards membership, use of their facilities and activities. Groups are required to take reasonable steps to ensure their activities can be made available for as broad a range of people as possible and that positive measures are put in place to remove any barriers to access.   </w:t>
      </w:r>
    </w:p>
    <w:p w14:paraId="6FB3CD94" w14:textId="77777777" w:rsidR="00E8417F" w:rsidRDefault="00D35D2A">
      <w:pPr>
        <w:spacing w:after="0" w:line="259" w:lineRule="auto"/>
        <w:ind w:left="67" w:firstLine="0"/>
      </w:pPr>
      <w:r>
        <w:t xml:space="preserve">  </w:t>
      </w:r>
    </w:p>
    <w:p w14:paraId="5FE2A132" w14:textId="77777777" w:rsidR="00E8417F" w:rsidRDefault="00D35D2A">
      <w:pPr>
        <w:numPr>
          <w:ilvl w:val="0"/>
          <w:numId w:val="6"/>
        </w:numPr>
        <w:spacing w:after="33"/>
      </w:pPr>
      <w:r>
        <w:t xml:space="preserve">Organisations/groups must have the appropriate public liability for the activities they provide and employer’s liability insurance.   </w:t>
      </w:r>
    </w:p>
    <w:p w14:paraId="144EF3E0" w14:textId="77777777" w:rsidR="00E8417F" w:rsidRDefault="00D35D2A">
      <w:pPr>
        <w:spacing w:after="0" w:line="259" w:lineRule="auto"/>
        <w:ind w:left="67" w:firstLine="0"/>
      </w:pPr>
      <w:r>
        <w:t xml:space="preserve">  </w:t>
      </w:r>
    </w:p>
    <w:p w14:paraId="33EEA3C1" w14:textId="77777777" w:rsidR="00E8417F" w:rsidRDefault="00D35D2A">
      <w:pPr>
        <w:numPr>
          <w:ilvl w:val="0"/>
          <w:numId w:val="6"/>
        </w:numPr>
      </w:pPr>
      <w:r>
        <w:t xml:space="preserve">Organisations should have the relevant policies and permissions in place </w:t>
      </w:r>
      <w:proofErr w:type="gramStart"/>
      <w:r>
        <w:t>in order to</w:t>
      </w:r>
      <w:proofErr w:type="gramEnd"/>
      <w:r>
        <w:t xml:space="preserve"> provide their service.   </w:t>
      </w:r>
    </w:p>
    <w:p w14:paraId="227C21FF" w14:textId="016B0455" w:rsidR="00D35D2A" w:rsidRDefault="00D35D2A" w:rsidP="00D35D2A">
      <w:pPr>
        <w:spacing w:after="0" w:line="259" w:lineRule="auto"/>
        <w:ind w:left="67" w:firstLine="0"/>
      </w:pPr>
      <w:r>
        <w:t xml:space="preserve">  </w:t>
      </w:r>
    </w:p>
    <w:p w14:paraId="4FDE378A" w14:textId="77777777" w:rsidR="00E8417F" w:rsidRDefault="00D35D2A">
      <w:pPr>
        <w:spacing w:after="0" w:line="259" w:lineRule="auto"/>
        <w:ind w:left="67" w:firstLine="0"/>
      </w:pPr>
      <w:r>
        <w:t xml:space="preserve">  </w:t>
      </w:r>
    </w:p>
    <w:p w14:paraId="1B059063" w14:textId="77777777" w:rsidR="00E8417F" w:rsidRDefault="00D35D2A">
      <w:pPr>
        <w:pStyle w:val="Heading1"/>
        <w:ind w:left="77"/>
      </w:pPr>
      <w:r>
        <w:t xml:space="preserve">Grant Terms   </w:t>
      </w:r>
    </w:p>
    <w:p w14:paraId="3F80E4FB" w14:textId="77777777" w:rsidR="00E8417F" w:rsidRDefault="00D35D2A">
      <w:pPr>
        <w:spacing w:after="0" w:line="259" w:lineRule="auto"/>
        <w:ind w:left="67" w:firstLine="0"/>
      </w:pPr>
      <w:r>
        <w:rPr>
          <w:b/>
        </w:rPr>
        <w:t xml:space="preserve"> </w:t>
      </w:r>
      <w:r>
        <w:t xml:space="preserve"> </w:t>
      </w:r>
    </w:p>
    <w:p w14:paraId="4EDD41CE" w14:textId="77777777" w:rsidR="00E8417F" w:rsidRDefault="00D35D2A">
      <w:pPr>
        <w:ind w:left="63"/>
      </w:pPr>
      <w:r>
        <w:t xml:space="preserve">All grant recipients are expected to enter into a grant agreement with Winchester City Council which includes the following terms:   </w:t>
      </w:r>
    </w:p>
    <w:p w14:paraId="193266C3" w14:textId="77777777" w:rsidR="00E8417F" w:rsidRDefault="00D35D2A">
      <w:pPr>
        <w:spacing w:after="0" w:line="259" w:lineRule="auto"/>
        <w:ind w:left="67" w:firstLine="0"/>
      </w:pPr>
      <w:r>
        <w:t xml:space="preserve">  </w:t>
      </w:r>
    </w:p>
    <w:p w14:paraId="3D9D0209" w14:textId="77777777" w:rsidR="00E8417F" w:rsidRDefault="00D35D2A">
      <w:pPr>
        <w:numPr>
          <w:ilvl w:val="0"/>
          <w:numId w:val="7"/>
        </w:numPr>
        <w:ind w:hanging="360"/>
      </w:pPr>
      <w:r>
        <w:t xml:space="preserve">Any spend by the organisation prior to formal notification from the council, will make the organisation/group ineligible for funding.   </w:t>
      </w:r>
    </w:p>
    <w:p w14:paraId="4B63D9C7" w14:textId="77777777" w:rsidR="00E8417F" w:rsidRDefault="00D35D2A">
      <w:pPr>
        <w:spacing w:after="0" w:line="259" w:lineRule="auto"/>
        <w:ind w:left="67" w:firstLine="0"/>
      </w:pPr>
      <w:r>
        <w:t xml:space="preserve">  </w:t>
      </w:r>
    </w:p>
    <w:p w14:paraId="50A67E36" w14:textId="77777777" w:rsidR="00E8417F" w:rsidRDefault="00D35D2A">
      <w:pPr>
        <w:numPr>
          <w:ilvl w:val="0"/>
          <w:numId w:val="7"/>
        </w:numPr>
        <w:ind w:hanging="360"/>
      </w:pPr>
      <w:r>
        <w:t xml:space="preserve">Winchester City Council reserves the right to fund less than the amount requested in the application form.   </w:t>
      </w:r>
    </w:p>
    <w:p w14:paraId="1E44AC12" w14:textId="77777777" w:rsidR="00E8417F" w:rsidRDefault="00D35D2A">
      <w:pPr>
        <w:spacing w:after="2" w:line="259" w:lineRule="auto"/>
        <w:ind w:left="67" w:firstLine="0"/>
      </w:pPr>
      <w:r>
        <w:t xml:space="preserve">  </w:t>
      </w:r>
    </w:p>
    <w:p w14:paraId="4B89E8D5" w14:textId="77777777" w:rsidR="00E8417F" w:rsidRDefault="00D35D2A">
      <w:pPr>
        <w:numPr>
          <w:ilvl w:val="0"/>
          <w:numId w:val="7"/>
        </w:numPr>
        <w:ind w:hanging="360"/>
      </w:pPr>
      <w:r>
        <w:t xml:space="preserve">Organisations/groups must not change the use of the grant award and must spend the grant on the purpose for which it was approved unless agreed otherwise in writing by the Funding and Development Officer at Winchester City Council.   </w:t>
      </w:r>
    </w:p>
    <w:p w14:paraId="04B6195C" w14:textId="77777777" w:rsidR="00E8417F" w:rsidRDefault="00D35D2A">
      <w:pPr>
        <w:spacing w:after="0" w:line="259" w:lineRule="auto"/>
        <w:ind w:left="67" w:firstLine="0"/>
      </w:pPr>
      <w:r>
        <w:lastRenderedPageBreak/>
        <w:t xml:space="preserve">  </w:t>
      </w:r>
    </w:p>
    <w:p w14:paraId="58F79A10" w14:textId="77777777" w:rsidR="00E8417F" w:rsidRDefault="00D35D2A">
      <w:pPr>
        <w:numPr>
          <w:ilvl w:val="0"/>
          <w:numId w:val="7"/>
        </w:numPr>
        <w:ind w:hanging="360"/>
      </w:pPr>
      <w:r>
        <w:t xml:space="preserve">All grant recipients will be required to publicise the support of Winchester City Council including the use of the appropriate council logo on publicity material. Guidance on this will be sent to successful applicants.   </w:t>
      </w:r>
    </w:p>
    <w:p w14:paraId="2DDE4822" w14:textId="77777777" w:rsidR="00E8417F" w:rsidRDefault="00D35D2A">
      <w:pPr>
        <w:spacing w:after="0" w:line="259" w:lineRule="auto"/>
        <w:ind w:left="67" w:firstLine="0"/>
      </w:pPr>
      <w:r>
        <w:t xml:space="preserve">  </w:t>
      </w:r>
    </w:p>
    <w:p w14:paraId="4BC521ED" w14:textId="13F434A6" w:rsidR="00D35D2A" w:rsidRDefault="00D35D2A" w:rsidP="00D35D2A">
      <w:pPr>
        <w:numPr>
          <w:ilvl w:val="0"/>
          <w:numId w:val="7"/>
        </w:numPr>
        <w:spacing w:after="5" w:line="250" w:lineRule="auto"/>
        <w:ind w:hanging="360"/>
      </w:pPr>
      <w:r>
        <w:t xml:space="preserve">All grant recipients will be required to explain how they used their grant </w:t>
      </w:r>
      <w:r w:rsidR="00F60DA5">
        <w:t>by 28 February 2025</w:t>
      </w:r>
      <w:r>
        <w:t xml:space="preserve">. The organisation must submit to the council a short statement of project completion, to confirm and evidence that the money was spent on the approved purpose, or the council may seek to reclaim its funding.   </w:t>
      </w:r>
    </w:p>
    <w:p w14:paraId="64B3553D" w14:textId="77777777" w:rsidR="00D35D2A" w:rsidRDefault="00D35D2A" w:rsidP="00D35D2A">
      <w:pPr>
        <w:pStyle w:val="ListParagraph"/>
      </w:pPr>
    </w:p>
    <w:p w14:paraId="7061A8B0" w14:textId="4AED1471" w:rsidR="00E8417F" w:rsidRDefault="00D35D2A" w:rsidP="00D35D2A">
      <w:pPr>
        <w:numPr>
          <w:ilvl w:val="0"/>
          <w:numId w:val="7"/>
        </w:numPr>
        <w:spacing w:after="5" w:line="250" w:lineRule="auto"/>
        <w:ind w:hanging="360"/>
      </w:pPr>
      <w:r>
        <w:t xml:space="preserve">Payment of the grant by the council will be made in two parts, with 50% paid following formal notification of the grant and receipt of the signed Funding Agreement. The remaining 50% will be paid on receipt of satisfactory evidence of expenditure pertaining to the overall project in line with the grant award by </w:t>
      </w:r>
      <w:r w:rsidR="00F60DA5">
        <w:t xml:space="preserve">28 February </w:t>
      </w:r>
      <w:r>
        <w:t>202</w:t>
      </w:r>
      <w:r w:rsidR="00F60DA5">
        <w:t>5</w:t>
      </w:r>
      <w:r>
        <w:t xml:space="preserve">. An end of grant report must be submitted within the stipulated timeframe. </w:t>
      </w:r>
    </w:p>
    <w:p w14:paraId="6D916BBC" w14:textId="77777777" w:rsidR="00E8417F" w:rsidRDefault="00D35D2A">
      <w:pPr>
        <w:spacing w:after="0" w:line="259" w:lineRule="auto"/>
        <w:ind w:left="427" w:firstLine="0"/>
      </w:pPr>
      <w:r>
        <w:t xml:space="preserve"> </w:t>
      </w:r>
    </w:p>
    <w:p w14:paraId="7EDEF89D" w14:textId="77777777" w:rsidR="00E8417F" w:rsidRDefault="00D35D2A">
      <w:pPr>
        <w:numPr>
          <w:ilvl w:val="0"/>
          <w:numId w:val="8"/>
        </w:numPr>
        <w:spacing w:after="280"/>
        <w:ind w:hanging="427"/>
      </w:pPr>
      <w:r>
        <w:t xml:space="preserve">If grant funding is used inappropriately, is not used, or the applicant fails to respect the conditions attached to the grant, the council may demand reimbursement of any funds already paid </w:t>
      </w:r>
      <w:proofErr w:type="gramStart"/>
      <w:r>
        <w:t>out, or</w:t>
      </w:r>
      <w:proofErr w:type="gramEnd"/>
      <w:r>
        <w:t xml:space="preserve"> take other measures to recoup the funds.   </w:t>
      </w:r>
    </w:p>
    <w:p w14:paraId="4AF49FD6" w14:textId="77777777" w:rsidR="00E8417F" w:rsidRDefault="00D35D2A">
      <w:pPr>
        <w:numPr>
          <w:ilvl w:val="0"/>
          <w:numId w:val="8"/>
        </w:numPr>
        <w:ind w:hanging="427"/>
      </w:pPr>
      <w:r>
        <w:t xml:space="preserve">Funding decisions are delegated to Corporate Head of Economy and Community. The council’s decisions with regards to funding are discretionary and no appeals process is available.  </w:t>
      </w:r>
    </w:p>
    <w:p w14:paraId="1CF2B3A0" w14:textId="77777777" w:rsidR="00D35D2A" w:rsidRDefault="00D35D2A" w:rsidP="00D35D2A"/>
    <w:p w14:paraId="25A4B7E0" w14:textId="1E31F503" w:rsidR="00E8417F" w:rsidRDefault="00E8417F" w:rsidP="00F60DA5">
      <w:pPr>
        <w:spacing w:after="0" w:line="259" w:lineRule="auto"/>
        <w:ind w:left="0" w:firstLine="0"/>
      </w:pPr>
    </w:p>
    <w:sectPr w:rsidR="00E8417F">
      <w:headerReference w:type="even" r:id="rId38"/>
      <w:headerReference w:type="default" r:id="rId39"/>
      <w:footerReference w:type="even" r:id="rId40"/>
      <w:footerReference w:type="default" r:id="rId41"/>
      <w:headerReference w:type="first" r:id="rId42"/>
      <w:footerReference w:type="first" r:id="rId43"/>
      <w:pgSz w:w="11906" w:h="16838"/>
      <w:pgMar w:top="2625" w:right="1475" w:bottom="3015" w:left="1373" w:header="73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A5FF1" w14:textId="77777777" w:rsidR="00817128" w:rsidRDefault="00D35D2A">
      <w:pPr>
        <w:spacing w:after="0" w:line="240" w:lineRule="auto"/>
      </w:pPr>
      <w:r>
        <w:separator/>
      </w:r>
    </w:p>
  </w:endnote>
  <w:endnote w:type="continuationSeparator" w:id="0">
    <w:p w14:paraId="1B17455D" w14:textId="77777777" w:rsidR="00817128" w:rsidRDefault="00D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4F52D" w14:textId="77777777" w:rsidR="00E8417F" w:rsidRDefault="00D35D2A">
    <w:pPr>
      <w:spacing w:after="1695" w:line="259" w:lineRule="auto"/>
      <w:ind w:left="67" w:firstLine="0"/>
    </w:pPr>
    <w:r>
      <w:rPr>
        <w:noProof/>
      </w:rPr>
      <w:drawing>
        <wp:anchor distT="0" distB="0" distL="114300" distR="114300" simplePos="0" relativeHeight="251658240" behindDoc="0" locked="0" layoutInCell="1" allowOverlap="0" wp14:anchorId="3983A7C6" wp14:editId="0AC82383">
          <wp:simplePos x="0" y="0"/>
          <wp:positionH relativeFrom="page">
            <wp:posOffset>914400</wp:posOffset>
          </wp:positionH>
          <wp:positionV relativeFrom="page">
            <wp:posOffset>9138285</wp:posOffset>
          </wp:positionV>
          <wp:extent cx="5640070" cy="91821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640070" cy="918210"/>
                  </a:xfrm>
                  <a:prstGeom prst="rect">
                    <a:avLst/>
                  </a:prstGeom>
                </pic:spPr>
              </pic:pic>
            </a:graphicData>
          </a:graphic>
        </wp:anchor>
      </w:drawing>
    </w:r>
    <w:r>
      <w:rPr>
        <w:rFonts w:ascii="Calibri" w:eastAsia="Calibri" w:hAnsi="Calibri" w:cs="Calibri"/>
        <w:sz w:val="22"/>
      </w:rPr>
      <w:t xml:space="preserve"> </w:t>
    </w:r>
    <w:r>
      <w:t xml:space="preserve"> </w:t>
    </w:r>
  </w:p>
  <w:p w14:paraId="109E97D7" w14:textId="77777777" w:rsidR="00E8417F" w:rsidRDefault="00D35D2A">
    <w:pPr>
      <w:spacing w:after="0" w:line="259" w:lineRule="auto"/>
      <w:ind w:left="67"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FD187" w14:textId="77777777" w:rsidR="00E8417F" w:rsidRDefault="00D35D2A">
    <w:pPr>
      <w:spacing w:after="1695" w:line="259" w:lineRule="auto"/>
      <w:ind w:left="67" w:firstLine="0"/>
    </w:pPr>
    <w:r>
      <w:rPr>
        <w:noProof/>
      </w:rPr>
      <w:drawing>
        <wp:anchor distT="0" distB="0" distL="114300" distR="114300" simplePos="0" relativeHeight="251659264" behindDoc="0" locked="0" layoutInCell="1" allowOverlap="0" wp14:anchorId="3B06FE21" wp14:editId="165011E8">
          <wp:simplePos x="0" y="0"/>
          <wp:positionH relativeFrom="page">
            <wp:posOffset>914400</wp:posOffset>
          </wp:positionH>
          <wp:positionV relativeFrom="page">
            <wp:posOffset>9138285</wp:posOffset>
          </wp:positionV>
          <wp:extent cx="5640070" cy="9182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640070" cy="918210"/>
                  </a:xfrm>
                  <a:prstGeom prst="rect">
                    <a:avLst/>
                  </a:prstGeom>
                </pic:spPr>
              </pic:pic>
            </a:graphicData>
          </a:graphic>
        </wp:anchor>
      </w:drawing>
    </w:r>
    <w:r>
      <w:rPr>
        <w:rFonts w:ascii="Calibri" w:eastAsia="Calibri" w:hAnsi="Calibri" w:cs="Calibri"/>
        <w:sz w:val="22"/>
      </w:rPr>
      <w:t xml:space="preserve"> </w:t>
    </w:r>
    <w:r>
      <w:t xml:space="preserve"> </w:t>
    </w:r>
  </w:p>
  <w:p w14:paraId="582615E3" w14:textId="77777777" w:rsidR="00E8417F" w:rsidRDefault="00D35D2A">
    <w:pPr>
      <w:spacing w:after="0" w:line="259" w:lineRule="auto"/>
      <w:ind w:left="67"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FC176" w14:textId="77777777" w:rsidR="00E8417F" w:rsidRDefault="00D35D2A">
    <w:pPr>
      <w:spacing w:after="1695" w:line="259" w:lineRule="auto"/>
      <w:ind w:left="67" w:firstLine="0"/>
    </w:pPr>
    <w:r>
      <w:rPr>
        <w:noProof/>
      </w:rPr>
      <w:drawing>
        <wp:anchor distT="0" distB="0" distL="114300" distR="114300" simplePos="0" relativeHeight="251660288" behindDoc="0" locked="0" layoutInCell="1" allowOverlap="0" wp14:anchorId="78B384F1" wp14:editId="1A000026">
          <wp:simplePos x="0" y="0"/>
          <wp:positionH relativeFrom="page">
            <wp:posOffset>914400</wp:posOffset>
          </wp:positionH>
          <wp:positionV relativeFrom="page">
            <wp:posOffset>9138285</wp:posOffset>
          </wp:positionV>
          <wp:extent cx="5640070" cy="9182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640070" cy="918210"/>
                  </a:xfrm>
                  <a:prstGeom prst="rect">
                    <a:avLst/>
                  </a:prstGeom>
                </pic:spPr>
              </pic:pic>
            </a:graphicData>
          </a:graphic>
        </wp:anchor>
      </w:drawing>
    </w:r>
    <w:r>
      <w:rPr>
        <w:rFonts w:ascii="Calibri" w:eastAsia="Calibri" w:hAnsi="Calibri" w:cs="Calibri"/>
        <w:sz w:val="22"/>
      </w:rPr>
      <w:t xml:space="preserve"> </w:t>
    </w:r>
    <w:r>
      <w:t xml:space="preserve"> </w:t>
    </w:r>
  </w:p>
  <w:p w14:paraId="698DC446" w14:textId="77777777" w:rsidR="00E8417F" w:rsidRDefault="00D35D2A">
    <w:pPr>
      <w:spacing w:after="0" w:line="259" w:lineRule="auto"/>
      <w:ind w:left="67"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D71B6" w14:textId="77777777" w:rsidR="00817128" w:rsidRDefault="00D35D2A">
      <w:pPr>
        <w:spacing w:after="0" w:line="240" w:lineRule="auto"/>
      </w:pPr>
      <w:r>
        <w:separator/>
      </w:r>
    </w:p>
  </w:footnote>
  <w:footnote w:type="continuationSeparator" w:id="0">
    <w:p w14:paraId="08AD5D4F" w14:textId="77777777" w:rsidR="00817128" w:rsidRDefault="00D3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326" w:tblpY="767"/>
      <w:tblOverlap w:val="never"/>
      <w:tblW w:w="9139" w:type="dxa"/>
      <w:tblInd w:w="0" w:type="dxa"/>
      <w:tblCellMar>
        <w:top w:w="103" w:type="dxa"/>
        <w:left w:w="157" w:type="dxa"/>
        <w:bottom w:w="193" w:type="dxa"/>
        <w:right w:w="115" w:type="dxa"/>
      </w:tblCellMar>
      <w:tblLook w:val="04A0" w:firstRow="1" w:lastRow="0" w:firstColumn="1" w:lastColumn="0" w:noHBand="0" w:noVBand="1"/>
    </w:tblPr>
    <w:tblGrid>
      <w:gridCol w:w="6381"/>
      <w:gridCol w:w="2758"/>
    </w:tblGrid>
    <w:tr w:rsidR="00E8417F" w14:paraId="090739C6" w14:textId="77777777">
      <w:trPr>
        <w:trHeight w:val="1522"/>
      </w:trPr>
      <w:tc>
        <w:tcPr>
          <w:tcW w:w="6380" w:type="dxa"/>
          <w:tcBorders>
            <w:top w:val="single" w:sz="24" w:space="0" w:color="000000"/>
            <w:left w:val="single" w:sz="24" w:space="0" w:color="000000"/>
            <w:bottom w:val="single" w:sz="24" w:space="0" w:color="000000"/>
            <w:right w:val="single" w:sz="24" w:space="0" w:color="000000"/>
          </w:tcBorders>
          <w:vAlign w:val="bottom"/>
        </w:tcPr>
        <w:p w14:paraId="555D4952" w14:textId="77777777" w:rsidR="00E8417F" w:rsidRDefault="00D35D2A">
          <w:pPr>
            <w:spacing w:after="0" w:line="259" w:lineRule="auto"/>
            <w:ind w:left="0" w:right="2325" w:firstLine="0"/>
            <w:jc w:val="center"/>
          </w:pPr>
          <w:r>
            <w:rPr>
              <w:noProof/>
            </w:rPr>
            <w:drawing>
              <wp:inline distT="0" distB="0" distL="0" distR="0" wp14:anchorId="4F7C1CE7" wp14:editId="676DB8F6">
                <wp:extent cx="2222754" cy="55181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2222754" cy="551815"/>
                        </a:xfrm>
                        <a:prstGeom prst="rect">
                          <a:avLst/>
                        </a:prstGeom>
                      </pic:spPr>
                    </pic:pic>
                  </a:graphicData>
                </a:graphic>
              </wp:inline>
            </w:drawing>
          </w:r>
          <w:r>
            <w:rPr>
              <w:b/>
              <w:sz w:val="22"/>
            </w:rPr>
            <w:t xml:space="preserve"> </w:t>
          </w:r>
          <w:r>
            <w:t xml:space="preserve"> </w:t>
          </w:r>
        </w:p>
      </w:tc>
      <w:tc>
        <w:tcPr>
          <w:tcW w:w="2758" w:type="dxa"/>
          <w:tcBorders>
            <w:top w:val="single" w:sz="24" w:space="0" w:color="000000"/>
            <w:left w:val="single" w:sz="24" w:space="0" w:color="000000"/>
            <w:bottom w:val="single" w:sz="24" w:space="0" w:color="000000"/>
            <w:right w:val="single" w:sz="24" w:space="0" w:color="000000"/>
          </w:tcBorders>
        </w:tcPr>
        <w:p w14:paraId="76D2C459" w14:textId="77777777" w:rsidR="00E8417F" w:rsidRDefault="00D35D2A">
          <w:pPr>
            <w:spacing w:after="41" w:line="259" w:lineRule="auto"/>
            <w:ind w:left="0" w:right="38" w:firstLine="0"/>
            <w:jc w:val="center"/>
          </w:pPr>
          <w:r>
            <w:rPr>
              <w:b/>
              <w:sz w:val="18"/>
            </w:rPr>
            <w:t xml:space="preserve">GRANTS PROGRAMME </w:t>
          </w:r>
          <w:r>
            <w:t xml:space="preserve"> </w:t>
          </w:r>
        </w:p>
        <w:p w14:paraId="0EC38A50" w14:textId="77777777" w:rsidR="00E8417F" w:rsidRDefault="00D35D2A">
          <w:pPr>
            <w:spacing w:after="226" w:line="259" w:lineRule="auto"/>
            <w:ind w:left="0" w:right="38" w:firstLine="0"/>
            <w:jc w:val="center"/>
          </w:pPr>
          <w:r>
            <w:rPr>
              <w:b/>
              <w:sz w:val="18"/>
            </w:rPr>
            <w:t xml:space="preserve">2023/2024 </w:t>
          </w:r>
          <w:r>
            <w:t xml:space="preserve"> </w:t>
          </w:r>
        </w:p>
        <w:p w14:paraId="7E9DDBD3" w14:textId="77777777" w:rsidR="00E8417F" w:rsidRDefault="00D35D2A">
          <w:pPr>
            <w:spacing w:after="0" w:line="259" w:lineRule="auto"/>
            <w:ind w:left="0" w:firstLine="0"/>
          </w:pPr>
          <w:r>
            <w:rPr>
              <w:b/>
              <w:sz w:val="18"/>
            </w:rPr>
            <w:t>POLICIES AND CRITERIA</w:t>
          </w:r>
          <w:r>
            <w:rPr>
              <w:b/>
              <w:sz w:val="22"/>
            </w:rPr>
            <w:t xml:space="preserve"> </w:t>
          </w:r>
          <w:r>
            <w:t xml:space="preserve"> </w:t>
          </w:r>
        </w:p>
      </w:tc>
    </w:tr>
  </w:tbl>
  <w:p w14:paraId="754007D1" w14:textId="77777777" w:rsidR="00E8417F" w:rsidRDefault="00D35D2A">
    <w:pPr>
      <w:spacing w:after="0" w:line="259" w:lineRule="auto"/>
      <w:ind w:left="67"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326" w:tblpY="767"/>
      <w:tblOverlap w:val="never"/>
      <w:tblW w:w="8735" w:type="dxa"/>
      <w:tblInd w:w="0" w:type="dxa"/>
      <w:tblCellMar>
        <w:top w:w="103" w:type="dxa"/>
        <w:left w:w="157" w:type="dxa"/>
        <w:bottom w:w="193" w:type="dxa"/>
        <w:right w:w="115" w:type="dxa"/>
      </w:tblCellMar>
      <w:tblLook w:val="04A0" w:firstRow="1" w:lastRow="0" w:firstColumn="1" w:lastColumn="0" w:noHBand="0" w:noVBand="1"/>
    </w:tblPr>
    <w:tblGrid>
      <w:gridCol w:w="6099"/>
      <w:gridCol w:w="2636"/>
    </w:tblGrid>
    <w:tr w:rsidR="00E8417F" w14:paraId="71551B30" w14:textId="77777777" w:rsidTr="00D35D2A">
      <w:trPr>
        <w:trHeight w:val="1002"/>
      </w:trPr>
      <w:tc>
        <w:tcPr>
          <w:tcW w:w="6099" w:type="dxa"/>
          <w:tcBorders>
            <w:top w:val="single" w:sz="24" w:space="0" w:color="000000"/>
            <w:left w:val="single" w:sz="24" w:space="0" w:color="000000"/>
            <w:bottom w:val="single" w:sz="24" w:space="0" w:color="000000"/>
            <w:right w:val="single" w:sz="24" w:space="0" w:color="000000"/>
          </w:tcBorders>
          <w:vAlign w:val="bottom"/>
        </w:tcPr>
        <w:p w14:paraId="1797DD0D" w14:textId="77777777" w:rsidR="00E8417F" w:rsidRDefault="00D35D2A">
          <w:pPr>
            <w:spacing w:after="0" w:line="259" w:lineRule="auto"/>
            <w:ind w:left="0" w:right="2325" w:firstLine="0"/>
            <w:jc w:val="center"/>
          </w:pPr>
          <w:r>
            <w:rPr>
              <w:noProof/>
            </w:rPr>
            <w:drawing>
              <wp:inline distT="0" distB="0" distL="0" distR="0" wp14:anchorId="775D968C" wp14:editId="6E7218DC">
                <wp:extent cx="20478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2093935" cy="633050"/>
                        </a:xfrm>
                        <a:prstGeom prst="rect">
                          <a:avLst/>
                        </a:prstGeom>
                      </pic:spPr>
                    </pic:pic>
                  </a:graphicData>
                </a:graphic>
              </wp:inline>
            </w:drawing>
          </w:r>
          <w:r>
            <w:rPr>
              <w:b/>
              <w:sz w:val="22"/>
            </w:rPr>
            <w:t xml:space="preserve"> </w:t>
          </w:r>
          <w:r>
            <w:t xml:space="preserve"> </w:t>
          </w:r>
        </w:p>
      </w:tc>
      <w:tc>
        <w:tcPr>
          <w:tcW w:w="2636" w:type="dxa"/>
          <w:tcBorders>
            <w:top w:val="single" w:sz="24" w:space="0" w:color="000000"/>
            <w:left w:val="single" w:sz="24" w:space="0" w:color="000000"/>
            <w:bottom w:val="single" w:sz="24" w:space="0" w:color="000000"/>
            <w:right w:val="single" w:sz="24" w:space="0" w:color="000000"/>
          </w:tcBorders>
        </w:tcPr>
        <w:p w14:paraId="3807FF4F" w14:textId="77777777" w:rsidR="00E8417F" w:rsidRDefault="00D35D2A">
          <w:pPr>
            <w:spacing w:after="41" w:line="259" w:lineRule="auto"/>
            <w:ind w:left="0" w:right="38" w:firstLine="0"/>
            <w:jc w:val="center"/>
          </w:pPr>
          <w:r>
            <w:rPr>
              <w:b/>
              <w:sz w:val="18"/>
            </w:rPr>
            <w:t xml:space="preserve">GRANTS PROGRAMME </w:t>
          </w:r>
          <w:r>
            <w:t xml:space="preserve"> </w:t>
          </w:r>
        </w:p>
        <w:p w14:paraId="25DA4D65" w14:textId="588A5981" w:rsidR="00E8417F" w:rsidRDefault="00D35D2A">
          <w:pPr>
            <w:spacing w:after="226" w:line="259" w:lineRule="auto"/>
            <w:ind w:left="0" w:right="38" w:firstLine="0"/>
            <w:jc w:val="center"/>
          </w:pPr>
          <w:r>
            <w:rPr>
              <w:b/>
              <w:sz w:val="18"/>
            </w:rPr>
            <w:t>202</w:t>
          </w:r>
          <w:r w:rsidR="002A2550">
            <w:rPr>
              <w:b/>
              <w:sz w:val="18"/>
            </w:rPr>
            <w:t>4</w:t>
          </w:r>
          <w:r>
            <w:rPr>
              <w:b/>
              <w:sz w:val="18"/>
            </w:rPr>
            <w:t>/202</w:t>
          </w:r>
          <w:r w:rsidR="002A2550">
            <w:rPr>
              <w:b/>
              <w:sz w:val="18"/>
            </w:rPr>
            <w:t>5</w:t>
          </w:r>
          <w:r>
            <w:rPr>
              <w:b/>
              <w:sz w:val="18"/>
            </w:rPr>
            <w:t xml:space="preserve"> </w:t>
          </w:r>
          <w:r>
            <w:t xml:space="preserve"> </w:t>
          </w:r>
        </w:p>
        <w:p w14:paraId="42D7F169" w14:textId="77777777" w:rsidR="00E8417F" w:rsidRDefault="00D35D2A">
          <w:pPr>
            <w:spacing w:after="0" w:line="259" w:lineRule="auto"/>
            <w:ind w:left="0" w:firstLine="0"/>
          </w:pPr>
          <w:r>
            <w:rPr>
              <w:b/>
              <w:sz w:val="18"/>
            </w:rPr>
            <w:t>POLICIES AND CRITERIA</w:t>
          </w:r>
          <w:r>
            <w:rPr>
              <w:b/>
              <w:sz w:val="22"/>
            </w:rPr>
            <w:t xml:space="preserve"> </w:t>
          </w:r>
          <w:r>
            <w:t xml:space="preserve"> </w:t>
          </w:r>
        </w:p>
      </w:tc>
    </w:tr>
  </w:tbl>
  <w:p w14:paraId="6900FCAB" w14:textId="77777777" w:rsidR="00E8417F" w:rsidRDefault="00D35D2A">
    <w:pPr>
      <w:spacing w:after="0" w:line="259" w:lineRule="auto"/>
      <w:ind w:left="67"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326" w:tblpY="767"/>
      <w:tblOverlap w:val="never"/>
      <w:tblW w:w="9139" w:type="dxa"/>
      <w:tblInd w:w="0" w:type="dxa"/>
      <w:tblCellMar>
        <w:top w:w="103" w:type="dxa"/>
        <w:left w:w="157" w:type="dxa"/>
        <w:bottom w:w="193" w:type="dxa"/>
        <w:right w:w="115" w:type="dxa"/>
      </w:tblCellMar>
      <w:tblLook w:val="04A0" w:firstRow="1" w:lastRow="0" w:firstColumn="1" w:lastColumn="0" w:noHBand="0" w:noVBand="1"/>
    </w:tblPr>
    <w:tblGrid>
      <w:gridCol w:w="6381"/>
      <w:gridCol w:w="2758"/>
    </w:tblGrid>
    <w:tr w:rsidR="00E8417F" w14:paraId="19323043" w14:textId="77777777">
      <w:trPr>
        <w:trHeight w:val="1522"/>
      </w:trPr>
      <w:tc>
        <w:tcPr>
          <w:tcW w:w="6380" w:type="dxa"/>
          <w:tcBorders>
            <w:top w:val="single" w:sz="24" w:space="0" w:color="000000"/>
            <w:left w:val="single" w:sz="24" w:space="0" w:color="000000"/>
            <w:bottom w:val="single" w:sz="24" w:space="0" w:color="000000"/>
            <w:right w:val="single" w:sz="24" w:space="0" w:color="000000"/>
          </w:tcBorders>
          <w:vAlign w:val="bottom"/>
        </w:tcPr>
        <w:p w14:paraId="702411DD" w14:textId="77777777" w:rsidR="00E8417F" w:rsidRDefault="00D35D2A">
          <w:pPr>
            <w:spacing w:after="0" w:line="259" w:lineRule="auto"/>
            <w:ind w:left="0" w:right="2325" w:firstLine="0"/>
            <w:jc w:val="center"/>
          </w:pPr>
          <w:r>
            <w:rPr>
              <w:noProof/>
            </w:rPr>
            <w:drawing>
              <wp:inline distT="0" distB="0" distL="0" distR="0" wp14:anchorId="18CBA390" wp14:editId="574E7A37">
                <wp:extent cx="2222754" cy="5518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2222754" cy="551815"/>
                        </a:xfrm>
                        <a:prstGeom prst="rect">
                          <a:avLst/>
                        </a:prstGeom>
                      </pic:spPr>
                    </pic:pic>
                  </a:graphicData>
                </a:graphic>
              </wp:inline>
            </w:drawing>
          </w:r>
          <w:r>
            <w:rPr>
              <w:b/>
              <w:sz w:val="22"/>
            </w:rPr>
            <w:t xml:space="preserve"> </w:t>
          </w:r>
          <w:r>
            <w:t xml:space="preserve"> </w:t>
          </w:r>
        </w:p>
      </w:tc>
      <w:tc>
        <w:tcPr>
          <w:tcW w:w="2758" w:type="dxa"/>
          <w:tcBorders>
            <w:top w:val="single" w:sz="24" w:space="0" w:color="000000"/>
            <w:left w:val="single" w:sz="24" w:space="0" w:color="000000"/>
            <w:bottom w:val="single" w:sz="24" w:space="0" w:color="000000"/>
            <w:right w:val="single" w:sz="24" w:space="0" w:color="000000"/>
          </w:tcBorders>
        </w:tcPr>
        <w:p w14:paraId="32CE4EEF" w14:textId="77777777" w:rsidR="00E8417F" w:rsidRDefault="00D35D2A">
          <w:pPr>
            <w:spacing w:after="41" w:line="259" w:lineRule="auto"/>
            <w:ind w:left="0" w:right="38" w:firstLine="0"/>
            <w:jc w:val="center"/>
          </w:pPr>
          <w:r>
            <w:rPr>
              <w:b/>
              <w:sz w:val="18"/>
            </w:rPr>
            <w:t xml:space="preserve">GRANTS PROGRAMME </w:t>
          </w:r>
          <w:r>
            <w:t xml:space="preserve"> </w:t>
          </w:r>
        </w:p>
        <w:p w14:paraId="2FB70636" w14:textId="77777777" w:rsidR="00E8417F" w:rsidRDefault="00D35D2A">
          <w:pPr>
            <w:spacing w:after="226" w:line="259" w:lineRule="auto"/>
            <w:ind w:left="0" w:right="38" w:firstLine="0"/>
            <w:jc w:val="center"/>
          </w:pPr>
          <w:r>
            <w:rPr>
              <w:b/>
              <w:sz w:val="18"/>
            </w:rPr>
            <w:t xml:space="preserve">2023/2024 </w:t>
          </w:r>
          <w:r>
            <w:t xml:space="preserve"> </w:t>
          </w:r>
        </w:p>
        <w:p w14:paraId="1B7601DD" w14:textId="77777777" w:rsidR="00E8417F" w:rsidRDefault="00D35D2A">
          <w:pPr>
            <w:spacing w:after="0" w:line="259" w:lineRule="auto"/>
            <w:ind w:left="0" w:firstLine="0"/>
          </w:pPr>
          <w:r>
            <w:rPr>
              <w:b/>
              <w:sz w:val="18"/>
            </w:rPr>
            <w:t>POLICIES AND CRITERIA</w:t>
          </w:r>
          <w:r>
            <w:rPr>
              <w:b/>
              <w:sz w:val="22"/>
            </w:rPr>
            <w:t xml:space="preserve"> </w:t>
          </w:r>
          <w:r>
            <w:t xml:space="preserve"> </w:t>
          </w:r>
        </w:p>
      </w:tc>
    </w:tr>
  </w:tbl>
  <w:p w14:paraId="35723DED" w14:textId="77777777" w:rsidR="00E8417F" w:rsidRDefault="00D35D2A">
    <w:pPr>
      <w:spacing w:after="0" w:line="259" w:lineRule="auto"/>
      <w:ind w:left="67" w:firstLine="0"/>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10C9B"/>
    <w:multiLevelType w:val="hybridMultilevel"/>
    <w:tmpl w:val="A2A89ADE"/>
    <w:lvl w:ilvl="0" w:tplc="D30C0EB6">
      <w:start w:val="1"/>
      <w:numFmt w:val="decimal"/>
      <w:lvlText w:val="%1."/>
      <w:lvlJc w:val="left"/>
      <w:pPr>
        <w:ind w:left="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08180">
      <w:start w:val="1"/>
      <w:numFmt w:val="lowerLetter"/>
      <w:lvlText w:val="%2"/>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6E514C">
      <w:start w:val="1"/>
      <w:numFmt w:val="lowerRoman"/>
      <w:lvlText w:val="%3"/>
      <w:lvlJc w:val="left"/>
      <w:pPr>
        <w:ind w:left="1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8CB850">
      <w:start w:val="1"/>
      <w:numFmt w:val="decimal"/>
      <w:lvlText w:val="%4"/>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E663A">
      <w:start w:val="1"/>
      <w:numFmt w:val="lowerLetter"/>
      <w:lvlText w:val="%5"/>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1CB96E">
      <w:start w:val="1"/>
      <w:numFmt w:val="lowerRoman"/>
      <w:lvlText w:val="%6"/>
      <w:lvlJc w:val="left"/>
      <w:pPr>
        <w:ind w:left="3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96FF70">
      <w:start w:val="1"/>
      <w:numFmt w:val="decimal"/>
      <w:lvlText w:val="%7"/>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E34C2">
      <w:start w:val="1"/>
      <w:numFmt w:val="lowerLetter"/>
      <w:lvlText w:val="%8"/>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61EEA">
      <w:start w:val="1"/>
      <w:numFmt w:val="lowerRoman"/>
      <w:lvlText w:val="%9"/>
      <w:lvlJc w:val="left"/>
      <w:pPr>
        <w:ind w:left="6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527E5"/>
    <w:multiLevelType w:val="hybridMultilevel"/>
    <w:tmpl w:val="315ABACE"/>
    <w:lvl w:ilvl="0" w:tplc="FFFFFFFF">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8220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0260C"/>
    <w:multiLevelType w:val="hybridMultilevel"/>
    <w:tmpl w:val="C1B26274"/>
    <w:lvl w:ilvl="0" w:tplc="7186815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FE1708">
      <w:start w:val="1"/>
      <w:numFmt w:val="bullet"/>
      <w:lvlText w:val="o"/>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9832BE">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D66FE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646A4">
      <w:start w:val="1"/>
      <w:numFmt w:val="bullet"/>
      <w:lvlText w:val="o"/>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6EA434">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EF19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C3E80">
      <w:start w:val="1"/>
      <w:numFmt w:val="bullet"/>
      <w:lvlText w:val="o"/>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903FAC">
      <w:start w:val="1"/>
      <w:numFmt w:val="bullet"/>
      <w:lvlText w:val="▪"/>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D6362B"/>
    <w:multiLevelType w:val="hybridMultilevel"/>
    <w:tmpl w:val="1090CB7A"/>
    <w:lvl w:ilvl="0" w:tplc="3D38220A">
      <w:start w:val="1"/>
      <w:numFmt w:val="bullet"/>
      <w:lvlText w:val="•"/>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256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FB516B"/>
    <w:multiLevelType w:val="hybridMultilevel"/>
    <w:tmpl w:val="9424A09A"/>
    <w:lvl w:ilvl="0" w:tplc="BCDE1E34">
      <w:start w:val="1"/>
      <w:numFmt w:val="bullet"/>
      <w:lvlText w:val="•"/>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0883C">
      <w:start w:val="1"/>
      <w:numFmt w:val="bullet"/>
      <w:lvlText w:val="o"/>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45C2E">
      <w:start w:val="1"/>
      <w:numFmt w:val="bullet"/>
      <w:lvlText w:val="▪"/>
      <w:lvlJc w:val="left"/>
      <w:pPr>
        <w:ind w:left="2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69F1A">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C60BA">
      <w:start w:val="1"/>
      <w:numFmt w:val="bullet"/>
      <w:lvlText w:val="o"/>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4ACE22">
      <w:start w:val="1"/>
      <w:numFmt w:val="bullet"/>
      <w:lvlText w:val="▪"/>
      <w:lvlJc w:val="left"/>
      <w:pPr>
        <w:ind w:left="4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4AD784">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4DA04">
      <w:start w:val="1"/>
      <w:numFmt w:val="bullet"/>
      <w:lvlText w:val="o"/>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70A638">
      <w:start w:val="1"/>
      <w:numFmt w:val="bullet"/>
      <w:lvlText w:val="▪"/>
      <w:lvlJc w:val="left"/>
      <w:pPr>
        <w:ind w:left="6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174EE"/>
    <w:multiLevelType w:val="hybridMultilevel"/>
    <w:tmpl w:val="22F21DAC"/>
    <w:lvl w:ilvl="0" w:tplc="B7665E88">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24164">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36B55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3AEBBA">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A0A52">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48290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6F3A0">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D48702">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E85A10">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002D52"/>
    <w:multiLevelType w:val="hybridMultilevel"/>
    <w:tmpl w:val="B08A1A32"/>
    <w:lvl w:ilvl="0" w:tplc="7918FA66">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247B4">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601D68">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2CE730">
      <w:start w:val="1"/>
      <w:numFmt w:val="bullet"/>
      <w:lvlText w:val="•"/>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50A130">
      <w:start w:val="1"/>
      <w:numFmt w:val="bullet"/>
      <w:lvlText w:val="o"/>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8201D2">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88A512">
      <w:start w:val="1"/>
      <w:numFmt w:val="bullet"/>
      <w:lvlText w:val="•"/>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8C93F6">
      <w:start w:val="1"/>
      <w:numFmt w:val="bullet"/>
      <w:lvlText w:val="o"/>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E4DC1E">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953929"/>
    <w:multiLevelType w:val="hybridMultilevel"/>
    <w:tmpl w:val="29F4E2D6"/>
    <w:lvl w:ilvl="0" w:tplc="D1FC464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E9C7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74D30E">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A18F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ACE28E">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70284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41A2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444A96">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B0912C">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226D02"/>
    <w:multiLevelType w:val="hybridMultilevel"/>
    <w:tmpl w:val="68BED79E"/>
    <w:lvl w:ilvl="0" w:tplc="FFFFFFFF">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8220A">
      <w:start w:val="1"/>
      <w:numFmt w:val="bullet"/>
      <w:lvlText w:val="•"/>
      <w:lvlJc w:val="left"/>
      <w:pPr>
        <w:ind w:left="256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9061F6"/>
    <w:multiLevelType w:val="hybridMultilevel"/>
    <w:tmpl w:val="D1A6500C"/>
    <w:lvl w:ilvl="0" w:tplc="58AEA2AC">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6009A">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1A1332">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E421F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87AE2">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4AAB04">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4C0DB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34F556">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D8303E">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63A1A"/>
    <w:multiLevelType w:val="hybridMultilevel"/>
    <w:tmpl w:val="B88C7194"/>
    <w:lvl w:ilvl="0" w:tplc="3D38220A">
      <w:start w:val="1"/>
      <w:numFmt w:val="bullet"/>
      <w:lvlText w:val="•"/>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945466"/>
    <w:multiLevelType w:val="hybridMultilevel"/>
    <w:tmpl w:val="3762FF56"/>
    <w:lvl w:ilvl="0" w:tplc="3D38220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F65E8"/>
    <w:multiLevelType w:val="hybridMultilevel"/>
    <w:tmpl w:val="9294C84A"/>
    <w:lvl w:ilvl="0" w:tplc="6F0A34A4">
      <w:start w:val="7"/>
      <w:numFmt w:val="decimal"/>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EECC8">
      <w:start w:val="1"/>
      <w:numFmt w:val="lowerLetter"/>
      <w:lvlText w:val="%2"/>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761B86">
      <w:start w:val="1"/>
      <w:numFmt w:val="lowerRoman"/>
      <w:lvlText w:val="%3"/>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A2A15E">
      <w:start w:val="1"/>
      <w:numFmt w:val="decimal"/>
      <w:lvlText w:val="%4"/>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42CA4">
      <w:start w:val="1"/>
      <w:numFmt w:val="lowerLetter"/>
      <w:lvlText w:val="%5"/>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44408E">
      <w:start w:val="1"/>
      <w:numFmt w:val="lowerRoman"/>
      <w:lvlText w:val="%6"/>
      <w:lvlJc w:val="left"/>
      <w:pPr>
        <w:ind w:left="4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AAB012">
      <w:start w:val="1"/>
      <w:numFmt w:val="decimal"/>
      <w:lvlText w:val="%7"/>
      <w:lvlJc w:val="left"/>
      <w:pPr>
        <w:ind w:left="4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21AC0">
      <w:start w:val="1"/>
      <w:numFmt w:val="lowerLetter"/>
      <w:lvlText w:val="%8"/>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2CAD0E">
      <w:start w:val="1"/>
      <w:numFmt w:val="lowerRoman"/>
      <w:lvlText w:val="%9"/>
      <w:lvlJc w:val="left"/>
      <w:pPr>
        <w:ind w:left="6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3B48CF"/>
    <w:multiLevelType w:val="hybridMultilevel"/>
    <w:tmpl w:val="D17ACB62"/>
    <w:lvl w:ilvl="0" w:tplc="0C5A3598">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E5CF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F4E9C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A4CA3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C5F0C">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ECBB0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5CD1D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6E03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566B2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A44A66"/>
    <w:multiLevelType w:val="hybridMultilevel"/>
    <w:tmpl w:val="48AC790C"/>
    <w:lvl w:ilvl="0" w:tplc="4D286F26">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2467A">
      <w:start w:val="1"/>
      <w:numFmt w:val="bullet"/>
      <w:lvlText w:val="o"/>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26DBE">
      <w:start w:val="1"/>
      <w:numFmt w:val="bullet"/>
      <w:lvlText w:val="▪"/>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A895A0">
      <w:start w:val="1"/>
      <w:numFmt w:val="bullet"/>
      <w:lvlText w:val="•"/>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00CF6">
      <w:start w:val="1"/>
      <w:numFmt w:val="bullet"/>
      <w:lvlText w:val="o"/>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D4D6FC">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D45F8E">
      <w:start w:val="1"/>
      <w:numFmt w:val="bullet"/>
      <w:lvlText w:val="•"/>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C079C">
      <w:start w:val="1"/>
      <w:numFmt w:val="bullet"/>
      <w:lvlText w:val="o"/>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CA2602">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AA007B"/>
    <w:multiLevelType w:val="hybridMultilevel"/>
    <w:tmpl w:val="43B613B4"/>
    <w:lvl w:ilvl="0" w:tplc="2152B094">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AE9A8">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D8F4D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C29468">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4CCF8">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14429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782EE4">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C3494">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26D5A">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007697"/>
    <w:multiLevelType w:val="hybridMultilevel"/>
    <w:tmpl w:val="A43067DA"/>
    <w:lvl w:ilvl="0" w:tplc="6F940CCC">
      <w:start w:val="1"/>
      <w:numFmt w:val="bullet"/>
      <w:lvlText w:val="•"/>
      <w:lvlJc w:val="left"/>
      <w:pPr>
        <w:ind w:left="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527936">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237FA">
      <w:start w:val="1"/>
      <w:numFmt w:val="bullet"/>
      <w:lvlText w:val="▪"/>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E8540">
      <w:start w:val="1"/>
      <w:numFmt w:val="bullet"/>
      <w:lvlText w:val="•"/>
      <w:lvlJc w:val="left"/>
      <w:pPr>
        <w:ind w:left="2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AFBD6">
      <w:start w:val="1"/>
      <w:numFmt w:val="bullet"/>
      <w:lvlText w:val="o"/>
      <w:lvlJc w:val="left"/>
      <w:pPr>
        <w:ind w:left="3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E6524">
      <w:start w:val="1"/>
      <w:numFmt w:val="bullet"/>
      <w:lvlText w:val="▪"/>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A63C0">
      <w:start w:val="1"/>
      <w:numFmt w:val="bullet"/>
      <w:lvlText w:val="•"/>
      <w:lvlJc w:val="left"/>
      <w:pPr>
        <w:ind w:left="4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492FA">
      <w:start w:val="1"/>
      <w:numFmt w:val="bullet"/>
      <w:lvlText w:val="o"/>
      <w:lvlJc w:val="left"/>
      <w:pPr>
        <w:ind w:left="5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A3A0E">
      <w:start w:val="1"/>
      <w:numFmt w:val="bullet"/>
      <w:lvlText w:val="▪"/>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12704182">
    <w:abstractNumId w:val="13"/>
  </w:num>
  <w:num w:numId="2" w16cid:durableId="1166172792">
    <w:abstractNumId w:val="15"/>
  </w:num>
  <w:num w:numId="3" w16cid:durableId="1079980381">
    <w:abstractNumId w:val="4"/>
  </w:num>
  <w:num w:numId="4" w16cid:durableId="2056805173">
    <w:abstractNumId w:val="5"/>
  </w:num>
  <w:num w:numId="5" w16cid:durableId="2014336863">
    <w:abstractNumId w:val="16"/>
  </w:num>
  <w:num w:numId="6" w16cid:durableId="1850364829">
    <w:abstractNumId w:val="0"/>
  </w:num>
  <w:num w:numId="7" w16cid:durableId="1519612934">
    <w:abstractNumId w:val="7"/>
  </w:num>
  <w:num w:numId="8" w16cid:durableId="439376721">
    <w:abstractNumId w:val="12"/>
  </w:num>
  <w:num w:numId="9" w16cid:durableId="1235778383">
    <w:abstractNumId w:val="2"/>
  </w:num>
  <w:num w:numId="10" w16cid:durableId="240256097">
    <w:abstractNumId w:val="14"/>
  </w:num>
  <w:num w:numId="11" w16cid:durableId="1108624073">
    <w:abstractNumId w:val="10"/>
  </w:num>
  <w:num w:numId="12" w16cid:durableId="114491550">
    <w:abstractNumId w:val="11"/>
  </w:num>
  <w:num w:numId="13" w16cid:durableId="1474178488">
    <w:abstractNumId w:val="6"/>
  </w:num>
  <w:num w:numId="14" w16cid:durableId="1558734710">
    <w:abstractNumId w:val="9"/>
  </w:num>
  <w:num w:numId="15" w16cid:durableId="1163348814">
    <w:abstractNumId w:val="8"/>
  </w:num>
  <w:num w:numId="16" w16cid:durableId="1629555538">
    <w:abstractNumId w:val="3"/>
  </w:num>
  <w:num w:numId="17" w16cid:durableId="67411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7F"/>
    <w:rsid w:val="00030AEA"/>
    <w:rsid w:val="000C7CC7"/>
    <w:rsid w:val="002016C0"/>
    <w:rsid w:val="00283BCA"/>
    <w:rsid w:val="00291DAE"/>
    <w:rsid w:val="002A2550"/>
    <w:rsid w:val="0031360B"/>
    <w:rsid w:val="003F29F3"/>
    <w:rsid w:val="004C33D6"/>
    <w:rsid w:val="005D7036"/>
    <w:rsid w:val="006309DF"/>
    <w:rsid w:val="007903EF"/>
    <w:rsid w:val="007D7C6C"/>
    <w:rsid w:val="00817128"/>
    <w:rsid w:val="0083383D"/>
    <w:rsid w:val="008A1CFE"/>
    <w:rsid w:val="00943B4A"/>
    <w:rsid w:val="009444A7"/>
    <w:rsid w:val="00B33083"/>
    <w:rsid w:val="00B3425A"/>
    <w:rsid w:val="00D35D2A"/>
    <w:rsid w:val="00E8417F"/>
    <w:rsid w:val="00F6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C61B"/>
  <w15:docId w15:val="{4A1718E4-06B4-4ED7-A3C4-F999F64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7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 w:line="255" w:lineRule="auto"/>
      <w:ind w:left="9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5D2A"/>
    <w:pPr>
      <w:ind w:left="720"/>
      <w:contextualSpacing/>
    </w:pPr>
  </w:style>
  <w:style w:type="character" w:styleId="Hyperlink">
    <w:name w:val="Hyperlink"/>
    <w:basedOn w:val="DefaultParagraphFont"/>
    <w:uiPriority w:val="99"/>
    <w:unhideWhenUsed/>
    <w:rsid w:val="00F60DA5"/>
    <w:rPr>
      <w:color w:val="0563C1" w:themeColor="hyperlink"/>
      <w:u w:val="single"/>
    </w:rPr>
  </w:style>
  <w:style w:type="paragraph" w:styleId="Revision">
    <w:name w:val="Revision"/>
    <w:hidden/>
    <w:uiPriority w:val="99"/>
    <w:semiHidden/>
    <w:rsid w:val="0083383D"/>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28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nchester.gov.uk/councillors-committees/ward-map" TargetMode="External"/><Relationship Id="rId18" Type="http://schemas.openxmlformats.org/officeDocument/2006/relationships/hyperlink" Target="https://www.winchester.gov.uk/councillors-committees/ward-map" TargetMode="External"/><Relationship Id="rId26" Type="http://schemas.openxmlformats.org/officeDocument/2006/relationships/hyperlink" Target="http://winchester.flexigrant.com/"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inchester.gov.uk/councillors-committees/ward-map" TargetMode="External"/><Relationship Id="rId34" Type="http://schemas.openxmlformats.org/officeDocument/2006/relationships/hyperlink" Target="https://www.cfirst.org.uk/help-for-groups" TargetMode="External"/><Relationship Id="rId42"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winchester.gov.uk/councillors-committees/ward-map" TargetMode="External"/><Relationship Id="rId17" Type="http://schemas.openxmlformats.org/officeDocument/2006/relationships/hyperlink" Target="https://www.winchester.gov.uk/councillors-committees/ward-map" TargetMode="External"/><Relationship Id="rId25" Type="http://schemas.openxmlformats.org/officeDocument/2006/relationships/hyperlink" Target="http://winchester.flexigrant.com/" TargetMode="External"/><Relationship Id="rId33" Type="http://schemas.openxmlformats.org/officeDocument/2006/relationships/hyperlink" Target="https://www.cfirst.org.uk/help-for-group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inchester.gov.uk/councillors-committees/ward-map" TargetMode="External"/><Relationship Id="rId20" Type="http://schemas.openxmlformats.org/officeDocument/2006/relationships/hyperlink" Target="https://www.winchester.gov.uk/councillors-committees/ward-map" TargetMode="External"/><Relationship Id="rId29" Type="http://schemas.openxmlformats.org/officeDocument/2006/relationships/hyperlink" Target="mailto:jchuhan@winchester.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chester.gov.uk/councillors-committees/ward-map" TargetMode="External"/><Relationship Id="rId24" Type="http://schemas.openxmlformats.org/officeDocument/2006/relationships/hyperlink" Target="http://winchester.flexigrant.com/" TargetMode="External"/><Relationship Id="rId32" Type="http://schemas.openxmlformats.org/officeDocument/2006/relationships/hyperlink" Target="https://www.cfirst.org.uk/help-for-groups" TargetMode="External"/><Relationship Id="rId37" Type="http://schemas.openxmlformats.org/officeDocument/2006/relationships/hyperlink" Target="https://www.cfirst.org.uk/help-for-group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inchester.gov.uk/councillors-committees/ward-map" TargetMode="External"/><Relationship Id="rId23" Type="http://schemas.openxmlformats.org/officeDocument/2006/relationships/hyperlink" Target="https://www.winchester.gov.uk/grants-for-not-for-profit-organisations/project-grant-scheme" TargetMode="External"/><Relationship Id="rId28" Type="http://schemas.openxmlformats.org/officeDocument/2006/relationships/hyperlink" Target="http://winchester.flexigrant.com/" TargetMode="External"/><Relationship Id="rId36" Type="http://schemas.openxmlformats.org/officeDocument/2006/relationships/hyperlink" Target="https://www.cfirst.org.uk/help-for-groups" TargetMode="External"/><Relationship Id="rId10" Type="http://schemas.openxmlformats.org/officeDocument/2006/relationships/hyperlink" Target="mailto:jchuhan@winchester.gov.uk" TargetMode="External"/><Relationship Id="rId19" Type="http://schemas.openxmlformats.org/officeDocument/2006/relationships/hyperlink" Target="https://www.winchester.gov.uk/councillors-committees/ward-map" TargetMode="External"/><Relationship Id="rId31" Type="http://schemas.openxmlformats.org/officeDocument/2006/relationships/hyperlink" Target="https://www.cfirst.org.uk/help-for-group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nchester.gov.uk/councillors-committees/ward-map" TargetMode="External"/><Relationship Id="rId22" Type="http://schemas.openxmlformats.org/officeDocument/2006/relationships/hyperlink" Target="https://www.winchester.gov.uk/grants-for-not-for-profit-organisations/project-grant-scheme" TargetMode="External"/><Relationship Id="rId27" Type="http://schemas.openxmlformats.org/officeDocument/2006/relationships/hyperlink" Target="http://winchester.flexigrant.com/" TargetMode="External"/><Relationship Id="rId30" Type="http://schemas.openxmlformats.org/officeDocument/2006/relationships/hyperlink" Target="https://www.cfirst.org.uk/help-for-groups" TargetMode="External"/><Relationship Id="rId35" Type="http://schemas.openxmlformats.org/officeDocument/2006/relationships/hyperlink" Target="https://www.cfirst.org.uk/help-for-groups" TargetMode="Externa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rants" ma:contentTypeID="0x0101007C32136FAB3A5944BA2B66052297973C10008E645CEBF9E33F4E95E45E6B0B95C5DC" ma:contentTypeVersion="16" ma:contentTypeDescription="" ma:contentTypeScope="" ma:versionID="202ef78633da62af8d7d8736fc076c1e">
  <xsd:schema xmlns:xsd="http://www.w3.org/2001/XMLSchema" xmlns:xs="http://www.w3.org/2001/XMLSchema" xmlns:p="http://schemas.microsoft.com/office/2006/metadata/properties" xmlns:ns2="ae817e9c-1e72-4a8d-9561-2657ae4fb7ed" targetNamespace="http://schemas.microsoft.com/office/2006/metadata/properties" ma:root="true" ma:fieldsID="eb10a63039755012ecfc6a0622bfa014" ns2:_="">
    <xsd:import namespace="ae817e9c-1e72-4a8d-9561-2657ae4fb7ed"/>
    <xsd:element name="properties">
      <xsd:complexType>
        <xsd:sequence>
          <xsd:element name="documentManagement">
            <xsd:complexType>
              <xsd:all>
                <xsd:element ref="ns2:Original_x0020_Document_x0020_Date" minOccurs="0"/>
                <xsd:element ref="ns2:TaxCatchAll" minOccurs="0"/>
                <xsd:element ref="ns2:TaxCatchAllLabel" minOccurs="0"/>
                <xsd:element ref="ns2:TaxKeywordTaxHTField" minOccurs="0"/>
                <xsd:element ref="ns2:nec9a272e6ce4963a54b13f18cbee140" minOccurs="0"/>
                <xsd:element ref="ns2:Financial_x0020_Year" minOccurs="0"/>
                <xsd:element ref="ns2:Grant_x0020__x0020_Se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17e9c-1e72-4a8d-9561-2657ae4fb7ed"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ma:readOnly="false">
      <xsd:simpleType>
        <xsd:restriction base="dms:DateTime"/>
      </xsd:simpleType>
    </xsd:element>
    <xsd:element name="TaxCatchAll" ma:index="8" nillable="true" ma:displayName="Taxonomy Catch All Column" ma:hidden="true" ma:list="{3d9619bf-ceb1-42a9-9026-ab6cd6d6091a}" ma:internalName="TaxCatchAll" ma:readOnly="false" ma:showField="CatchAllData" ma:web="ae817e9c-1e72-4a8d-9561-2657ae4fb7e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d9619bf-ceb1-42a9-9026-ab6cd6d6091a}" ma:internalName="TaxCatchAllLabel" ma:readOnly="true" ma:showField="CatchAllDataLabel" ma:web="ae817e9c-1e72-4a8d-9561-2657ae4fb7ed">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nec9a272e6ce4963a54b13f18cbee140" ma:index="13" ma:taxonomy="true" ma:internalName="nec9a272e6ce4963a54b13f18cbee140" ma:taxonomyFieldName="Grant_x0020_Category" ma:displayName="Grant Category" ma:readOnly="false" ma:fieldId="{7ec9a272-e6ce-4963-a54b-13f18cbee140}" ma:sspId="e64b0df6-c67a-4e60-92fc-ee34611ae5bc" ma:termSetId="31993191-3bf8-4b85-89ab-3d159cd1f31d" ma:anchorId="866d6d46-a0f4-48da-9113-a67acb10a8c9" ma:open="false" ma:isKeyword="false">
      <xsd:complexType>
        <xsd:sequence>
          <xsd:element ref="pc:Terms" minOccurs="0" maxOccurs="1"/>
        </xsd:sequence>
      </xsd:complexType>
    </xsd:element>
    <xsd:element name="Financial_x0020_Year" ma:index="15" nillable="true" ma:displayName="Financial Year" ma:format="Dropdown" ma:internalName="Financial_x0020_Year" ma:readOnly="false">
      <xsd:simpleType>
        <xsd:restriction base="dms:Choice">
          <xsd:enumeration value="2025-2026"/>
          <xsd:enumeration value="2024-2025"/>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Grant_x0020__x0020_Set_x0020_Type" ma:index="16" nillable="true" ma:displayName="Grant  Set Type" ma:format="Dropdown" ma:internalName="Grant_x0020__x0020_Set_x0020_Type">
      <xsd:simpleType>
        <xsd:restriction base="dms:Choice">
          <xsd:enumeration value="Budgets and Funding"/>
          <xsd:enumeration value="Communications and Publicity"/>
          <xsd:enumeration value="Cost of Living grants"/>
          <xsd:enumeration value="Crowdfunder"/>
          <xsd:enumeration value="District Small grants"/>
          <xsd:enumeration value="Events"/>
          <xsd:enumeration value="Green grants"/>
          <xsd:enumeration value="Monitoring and Reporting"/>
          <xsd:enumeration value="One off grants"/>
          <xsd:enumeration value="Priority Outcomes grants"/>
          <xsd:enumeration value="Project grants"/>
          <xsd:enumeration value="Strategic Fund grants"/>
          <xsd:enumeration value="Town Forum Project grants"/>
          <xsd:enumeration value="Town Forum Small grants"/>
          <xsd:enumeration value="Voluntary Sector Support"/>
          <xsd:enumeration value="Other"/>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_x0020_Year xmlns="ae817e9c-1e72-4a8d-9561-2657ae4fb7ed">2024-2025</Financial_x0020_Year>
    <Grant_x0020__x0020_Set_x0020_Type xmlns="ae817e9c-1e72-4a8d-9561-2657ae4fb7ed">Project grants</Grant_x0020__x0020_Set_x0020_Type>
    <TaxCatchAll xmlns="ae817e9c-1e72-4a8d-9561-2657ae4fb7ed">
      <Value>751</Value>
    </TaxCatchAll>
    <Original_x0020_Document_x0020_Date xmlns="ae817e9c-1e72-4a8d-9561-2657ae4fb7ed">2023-06-27T23:00:00+00:00</Original_x0020_Document_x0020_Date>
    <nec9a272e6ce4963a54b13f18cbee140 xmlns="ae817e9c-1e72-4a8d-9561-2657ae4fb7ed">
      <Terms xmlns="http://schemas.microsoft.com/office/infopath/2007/PartnerControls">
        <TermInfo xmlns="http://schemas.microsoft.com/office/infopath/2007/PartnerControls">
          <TermName xmlns="http://schemas.microsoft.com/office/infopath/2007/PartnerControls">Supporting Information</TermName>
          <TermId xmlns="http://schemas.microsoft.com/office/infopath/2007/PartnerControls">9b3f4a4c-d559-43f9-a1cd-c82bea0d0a4a</TermId>
        </TermInfo>
      </Terms>
    </nec9a272e6ce4963a54b13f18cbee140>
    <TaxKeywordTaxHTField xmlns="ae817e9c-1e72-4a8d-9561-2657ae4fb7ed">
      <Terms xmlns="http://schemas.microsoft.com/office/infopath/2007/PartnerControls"/>
    </TaxKeywordTaxHTField>
  </documentManagement>
</p:properties>
</file>

<file path=customXml/itemProps1.xml><?xml version="1.0" encoding="utf-8"?>
<ds:datastoreItem xmlns:ds="http://schemas.openxmlformats.org/officeDocument/2006/customXml" ds:itemID="{800877F6-92E7-4C1E-8C9A-4296BD059FE3}">
  <ds:schemaRefs>
    <ds:schemaRef ds:uri="http://schemas.microsoft.com/sharepoint/v3/contenttype/forms"/>
  </ds:schemaRefs>
</ds:datastoreItem>
</file>

<file path=customXml/itemProps2.xml><?xml version="1.0" encoding="utf-8"?>
<ds:datastoreItem xmlns:ds="http://schemas.openxmlformats.org/officeDocument/2006/customXml" ds:itemID="{6ADB55F6-58FE-4203-B464-72CC93A8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17e9c-1e72-4a8d-9561-2657ae4fb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EEA8D-1700-4FC7-AAD9-2EFD9FF97B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817e9c-1e72-4a8d-9561-2657ae4fb7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Chuhan</dc:creator>
  <cp:keywords/>
  <cp:lastModifiedBy>Stella Thurston</cp:lastModifiedBy>
  <cp:revision>2</cp:revision>
  <dcterms:created xsi:type="dcterms:W3CDTF">2024-07-08T07:37:00Z</dcterms:created>
  <dcterms:modified xsi:type="dcterms:W3CDTF">2024-07-08T07:37:00Z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0x0101007C32136FAB3A5944BA2B66052297973C10008E645CEBF9E33F4E95E45E6B0B95C5DC</vt:lpwstr>
  </property>
  <property fmtid="{D5CDD505-2E9C-101B-9397-08002B2CF9AE}" pid="3" name="TaxKeyword">
    <vt:lpwstr/>
  </property>
  <property fmtid="{D5CDD505-2E9C-101B-9397-08002B2CF9AE}" pid="4" name="Grant Category">
    <vt:lpwstr>751;#Supporting Information|9b3f4a4c-d559-43f9-a1cd-c82bea0d0a4a</vt:lpwstr>
  </property>
  <property fmtid="{D5CDD505-2E9C-101B-9397-08002B2CF9AE}" pid="5" name="Year">
    <vt:lpwstr/>
  </property>
  <property fmtid="{D5CDD505-2E9C-101B-9397-08002B2CF9AE}" pid="6" name="DocumentSetDescription">
    <vt:lpwstr/>
  </property>
  <property fmtid="{D5CDD505-2E9C-101B-9397-08002B2CF9AE}" pid="7" name="_dlc_DocId">
    <vt:lpwstr/>
  </property>
  <property fmtid="{D5CDD505-2E9C-101B-9397-08002B2CF9AE}" pid="8" name="_dlc_DocIdUrl">
    <vt:lpwstr/>
  </property>
  <property fmtid="{D5CDD505-2E9C-101B-9397-08002B2CF9AE}" pid="9" name="Grant Type">
    <vt:lpwstr/>
  </property>
</Properties>
</file>